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E04" w:rsidRPr="007A5100" w:rsidRDefault="00264E04" w:rsidP="00264E04">
      <w:pPr>
        <w:pBdr>
          <w:bottom w:val="single" w:sz="4" w:space="1" w:color="666699"/>
        </w:pBdr>
        <w:spacing w:before="60"/>
        <w:jc w:val="center"/>
        <w:rPr>
          <w:b/>
          <w:smallCaps/>
          <w:color w:val="333399"/>
          <w:sz w:val="28"/>
          <w:szCs w:val="28"/>
        </w:rPr>
      </w:pPr>
      <w:r w:rsidRPr="007A5100">
        <w:rPr>
          <w:b/>
          <w:smallCaps/>
          <w:color w:val="333399"/>
          <w:sz w:val="28"/>
          <w:szCs w:val="28"/>
        </w:rPr>
        <w:t>Liceo Classico e Linguistico Statale  “</w:t>
      </w:r>
      <w:r w:rsidRPr="007A5100">
        <w:rPr>
          <w:b/>
          <w:caps/>
          <w:color w:val="333399"/>
          <w:spacing w:val="60"/>
          <w:sz w:val="32"/>
          <w:szCs w:val="32"/>
        </w:rPr>
        <w:t>Aristofane”</w:t>
      </w:r>
    </w:p>
    <w:p w:rsidR="00264E04" w:rsidRPr="007A5100" w:rsidRDefault="00264E04" w:rsidP="00264E04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264E04" w:rsidRPr="007A5100" w:rsidRDefault="00264E04" w:rsidP="00264E04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i/>
          <w:iCs/>
          <w:color w:val="333399"/>
          <w:sz w:val="32"/>
          <w:szCs w:val="32"/>
          <w:lang/>
        </w:rPr>
      </w:pPr>
    </w:p>
    <w:p w:rsidR="00264E04" w:rsidRPr="007A5100" w:rsidRDefault="00264E04" w:rsidP="00264E04">
      <w:pPr>
        <w:autoSpaceDE w:val="0"/>
        <w:autoSpaceDN w:val="0"/>
        <w:adjustRightInd w:val="0"/>
        <w:jc w:val="center"/>
        <w:rPr>
          <w:rFonts w:ascii="Trebuchet MS" w:hAnsi="Trebuchet MS" w:cs="Calibri"/>
          <w:b/>
          <w:bCs/>
          <w:color w:val="333399"/>
          <w:sz w:val="32"/>
          <w:szCs w:val="32"/>
          <w:lang/>
        </w:rPr>
      </w:pPr>
      <w:r w:rsidRPr="007A5100">
        <w:rPr>
          <w:rFonts w:ascii="Trebuchet MS" w:hAnsi="Trebuchet MS" w:cs="Calibri"/>
          <w:b/>
          <w:bCs/>
          <w:iCs/>
          <w:color w:val="333399"/>
          <w:sz w:val="32"/>
          <w:szCs w:val="32"/>
          <w:lang/>
        </w:rPr>
        <w:t>ANNO SCOLASTICO 2014 -2015</w:t>
      </w:r>
    </w:p>
    <w:p w:rsidR="00264E04" w:rsidRPr="00A16727" w:rsidRDefault="00264E04" w:rsidP="00264E04">
      <w:pPr>
        <w:autoSpaceDE w:val="0"/>
        <w:autoSpaceDN w:val="0"/>
        <w:adjustRightInd w:val="0"/>
        <w:spacing w:before="120" w:after="300"/>
        <w:jc w:val="center"/>
        <w:rPr>
          <w:rFonts w:ascii="Trebuchet MS" w:hAnsi="Trebuchet MS" w:cs="Cambria"/>
          <w:color w:val="333399"/>
          <w:spacing w:val="5"/>
          <w:sz w:val="52"/>
          <w:szCs w:val="52"/>
          <w:lang/>
        </w:rPr>
      </w:pPr>
      <w:r w:rsidRPr="00A16727">
        <w:rPr>
          <w:rFonts w:ascii="Trebuchet MS" w:hAnsi="Trebuchet MS" w:cs="Cambria"/>
          <w:color w:val="333399"/>
          <w:spacing w:val="5"/>
          <w:sz w:val="52"/>
          <w:szCs w:val="52"/>
          <w:lang/>
        </w:rPr>
        <w:t>PROGRAMMAZIONE DIDATTICA DI ITALIANO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264E04" w:rsidRPr="00DC151D" w:rsidTr="00205D9E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DOCENTE</w:t>
            </w:r>
            <w:r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 Stefano Circi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rPr>
                <w:rFonts w:ascii="Trebuchet MS" w:hAnsi="Trebuchet MS" w:cs="Calibri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color w:val="C00000"/>
                <w:sz w:val="28"/>
                <w:szCs w:val="28"/>
                <w:lang/>
              </w:rPr>
              <w:t>CLASSE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>:</w:t>
            </w:r>
            <w:r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III B Liceo Linguistico</w:t>
            </w:r>
            <w:r w:rsidRPr="00DC151D">
              <w:rPr>
                <w:rFonts w:ascii="Trebuchet MS" w:hAnsi="Trebuchet MS" w:cs="Calibri"/>
                <w:b/>
                <w:bCs/>
                <w:sz w:val="28"/>
                <w:szCs w:val="28"/>
                <w:lang/>
              </w:rPr>
              <w:t xml:space="preserve"> </w:t>
            </w:r>
          </w:p>
        </w:tc>
      </w:tr>
    </w:tbl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264E04" w:rsidRPr="00DC151D" w:rsidTr="00205D9E">
        <w:trPr>
          <w:trHeight w:val="73"/>
        </w:trPr>
        <w:tc>
          <w:tcPr>
            <w:tcW w:w="97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rebuchet MS" w:hAnsi="Trebuchet MS" w:cs="Calibri"/>
                <w:sz w:val="32"/>
                <w:szCs w:val="32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z w:val="32"/>
                <w:szCs w:val="32"/>
                <w:lang/>
              </w:rPr>
              <w:t>PROGRAMMAZIONE DISCIPLINARE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Descrizione della classe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F94A77" w:rsidRDefault="00264E04" w:rsidP="00205D9E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Disciplina e attenzione all’inizio difficili per generale disinteresse; netto miglioramento a partire dalla metà di ottobre. Ora livello generale di scolarizzazione pressoché nella norma. Assenze e ritardi regolari tranne il sabato, giorno in cui si registra una evidente flessione delle presenze.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Situazione iniziale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253002" w:rsidRDefault="00264E04" w:rsidP="00205D9E">
            <w:pPr>
              <w:jc w:val="both"/>
              <w:rPr>
                <w:rFonts w:ascii="Trebuchet MS" w:hAnsi="Trebuchet MS"/>
                <w:sz w:val="18"/>
                <w:szCs w:val="18"/>
              </w:rPr>
            </w:pPr>
            <w:r w:rsidRPr="00253002">
              <w:rPr>
                <w:rFonts w:ascii="Trebuchet MS" w:hAnsi="Trebuchet MS"/>
                <w:sz w:val="18"/>
                <w:szCs w:val="18"/>
              </w:rPr>
              <w:t xml:space="preserve">Sono state effettuate due prove valide per l’orale e una prova scritta. In orale tutta la classe ha raggiunto, </w:t>
            </w:r>
            <w:r>
              <w:rPr>
                <w:rFonts w:ascii="Trebuchet MS" w:hAnsi="Trebuchet MS"/>
                <w:sz w:val="18"/>
                <w:szCs w:val="18"/>
              </w:rPr>
              <w:t xml:space="preserve">tranne in un paio di casi, </w:t>
            </w:r>
            <w:r w:rsidRPr="00253002">
              <w:rPr>
                <w:rFonts w:ascii="Trebuchet MS" w:hAnsi="Trebuchet MS"/>
                <w:sz w:val="18"/>
                <w:szCs w:val="18"/>
              </w:rPr>
              <w:t>almeno la sufficienza</w:t>
            </w:r>
            <w:r>
              <w:rPr>
                <w:rFonts w:ascii="Trebuchet MS" w:hAnsi="Trebuchet MS"/>
                <w:sz w:val="18"/>
                <w:szCs w:val="18"/>
              </w:rPr>
              <w:t xml:space="preserve">. C’è da sottolineare, però, che </w:t>
            </w:r>
            <w:r w:rsidRPr="00253002">
              <w:rPr>
                <w:rFonts w:ascii="Trebuchet MS" w:hAnsi="Trebuchet MS"/>
                <w:sz w:val="18"/>
                <w:szCs w:val="18"/>
              </w:rPr>
              <w:t>a</w:t>
            </w:r>
            <w:r>
              <w:rPr>
                <w:rFonts w:ascii="Trebuchet MS" w:hAnsi="Trebuchet MS"/>
                <w:sz w:val="18"/>
                <w:szCs w:val="18"/>
              </w:rPr>
              <w:t>l raggiungimento di</w:t>
            </w:r>
            <w:r w:rsidRPr="00253002">
              <w:rPr>
                <w:rFonts w:ascii="Trebuchet MS" w:hAnsi="Trebuchet MS"/>
                <w:sz w:val="18"/>
                <w:szCs w:val="18"/>
              </w:rPr>
              <w:t xml:space="preserve"> questo risultato hanno </w:t>
            </w:r>
            <w:r>
              <w:rPr>
                <w:rFonts w:ascii="Trebuchet MS" w:hAnsi="Trebuchet MS"/>
                <w:sz w:val="18"/>
                <w:szCs w:val="18"/>
              </w:rPr>
              <w:t xml:space="preserve">sicuramente </w:t>
            </w:r>
            <w:r w:rsidRPr="00253002">
              <w:rPr>
                <w:rFonts w:ascii="Trebuchet MS" w:hAnsi="Trebuchet MS"/>
                <w:sz w:val="18"/>
                <w:szCs w:val="18"/>
              </w:rPr>
              <w:t>contribuito</w:t>
            </w:r>
            <w:r>
              <w:rPr>
                <w:rFonts w:ascii="Trebuchet MS" w:hAnsi="Trebuchet MS"/>
                <w:sz w:val="18"/>
                <w:szCs w:val="18"/>
              </w:rPr>
              <w:t xml:space="preserve"> due fattori: la relativa accessibilità delle verifiche (2 test a risposta multipla rispettivamente comprendenti rispettivamente 40 e 45 quesiti) e un meticoloso recupero e ripasso in classe alla vigilia della somministrazione.</w:t>
            </w:r>
            <w:r w:rsidRPr="00253002">
              <w:rPr>
                <w:rFonts w:ascii="Trebuchet MS" w:hAnsi="Trebuchet MS"/>
                <w:sz w:val="18"/>
                <w:szCs w:val="18"/>
              </w:rPr>
              <w:t xml:space="preserve"> Nella produzione scritta, viceversa, si evidenziano confusione e/o approssimazione nella struttura argomentativa, improprietà anche gravi nell’organizzazione sintattica e carenze nel possesso e nell’uso di un lessico adeguato. 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Finalità generali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402BC" w:rsidRDefault="00264E04" w:rsidP="00205D9E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bCs/>
                <w:sz w:val="20"/>
                <w:szCs w:val="20"/>
              </w:rPr>
            </w:pPr>
            <w:r>
              <w:rPr>
                <w:rFonts w:ascii="Trebuchet MS" w:hAnsi="Trebuchet MS" w:cs="Calibri"/>
                <w:bCs/>
                <w:sz w:val="20"/>
                <w:szCs w:val="20"/>
              </w:rPr>
              <w:t>Acquisire i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dati fondamentali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 dell’attività letteraria italiana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 dalle origini al Rinascimento;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perfeziona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 xml:space="preserve">re 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i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l metodo di studio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;potenziare 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la competenza comunicativa nelle sue varie forme di espressione; svil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 xml:space="preserve">uppare le capacità logiche e di </w:t>
            </w:r>
            <w:r w:rsidRPr="00D402BC">
              <w:rPr>
                <w:rFonts w:ascii="Trebuchet MS" w:hAnsi="Trebuchet MS" w:cs="Calibri"/>
                <w:bCs/>
                <w:sz w:val="20"/>
                <w:szCs w:val="20"/>
              </w:rPr>
              <w:t>astrazione concettuale</w:t>
            </w:r>
            <w:r>
              <w:rPr>
                <w:rFonts w:ascii="Trebuchet MS" w:hAnsi="Trebuchet MS" w:cs="Calibri"/>
                <w:bCs/>
                <w:sz w:val="20"/>
                <w:szCs w:val="20"/>
              </w:rPr>
              <w:t>.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Concetti fondamentali della disciplina</w:t>
            </w:r>
          </w:p>
          <w:p w:rsidR="00264E04" w:rsidRPr="007A5100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7A5100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>Macroargomenti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442423" w:rsidRDefault="00264E04" w:rsidP="00205D9E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442423">
              <w:rPr>
                <w:rFonts w:ascii="Trebuchet MS" w:hAnsi="Trebuchet MS" w:cs="Calibri"/>
                <w:sz w:val="20"/>
                <w:szCs w:val="20"/>
                <w:lang/>
              </w:rPr>
              <w:t>Le origini e la lirica in volgare; la figura e l’opera di Dante; il canone trecentesco: Petrarca e Boccaccio; la novità dell’Umanesimo; Machiavelli. Studio dell’</w:t>
            </w:r>
            <w:r w:rsidRPr="00442423">
              <w:rPr>
                <w:rFonts w:ascii="Trebuchet MS" w:hAnsi="Trebuchet MS" w:cs="Calibri"/>
                <w:i/>
                <w:sz w:val="20"/>
                <w:szCs w:val="20"/>
                <w:lang/>
              </w:rPr>
              <w:t xml:space="preserve">Inferno </w:t>
            </w:r>
            <w:r w:rsidRPr="00442423">
              <w:rPr>
                <w:rFonts w:ascii="Trebuchet MS" w:hAnsi="Trebuchet MS" w:cs="Calibri"/>
                <w:sz w:val="20"/>
                <w:szCs w:val="20"/>
                <w:lang/>
              </w:rPr>
              <w:t>di Dante.</w:t>
            </w:r>
          </w:p>
          <w:p w:rsidR="00264E04" w:rsidRPr="00253002" w:rsidRDefault="00264E04" w:rsidP="00205D9E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18"/>
                <w:szCs w:val="18"/>
                <w:lang/>
              </w:rPr>
            </w:pPr>
          </w:p>
        </w:tc>
      </w:tr>
      <w:tr w:rsidR="00264E04" w:rsidRPr="00DC151D" w:rsidTr="00205D9E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Obiettivi didattici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(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da compilare solo in caso di scostamento da</w:t>
            </w:r>
            <w:r>
              <w:rPr>
                <w:rFonts w:ascii="Trebuchet MS" w:hAnsi="Trebuchet MS" w:cs="Calibri"/>
                <w:i/>
                <w:sz w:val="20"/>
                <w:szCs w:val="20"/>
                <w:lang/>
              </w:rPr>
              <w:t>lla programmazione di D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ipartimento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)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 xml:space="preserve">Conoscenze 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conoscenze indicano il risultato dell’assimilazione di informazioni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attraverso l’apprendimento. Le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conoscenze sono l’insieme di fatti, principi, teorie e pratiche, relative a un settore di studio o di lavoro; le conoscenze sono descritte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come teoriche e/o pratiche.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</w:tc>
      </w:tr>
    </w:tbl>
    <w:p w:rsidR="00264E04" w:rsidRDefault="00264E04" w:rsidP="00264E04"/>
    <w:p w:rsidR="00264E04" w:rsidRDefault="00264E04" w:rsidP="00264E04"/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Abilità</w:t>
            </w:r>
            <w:r w:rsidRPr="00DC151D">
              <w:rPr>
                <w:rFonts w:ascii="Trebuchet MS" w:hAnsi="Trebuchet MS" w:cs="Calibri"/>
                <w:smallCaps/>
                <w:sz w:val="20"/>
                <w:szCs w:val="20"/>
                <w:lang/>
              </w:rPr>
              <w:t xml:space="preserve"> 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capacità di applicare conoscenze e di usare 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know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-</w:t>
            </w:r>
            <w:r w:rsidRPr="007A5100">
              <w:rPr>
                <w:rFonts w:ascii="Trebuchet MS" w:hAnsi="Trebuchet MS" w:cs="Calibri"/>
                <w:i/>
                <w:sz w:val="20"/>
                <w:szCs w:val="20"/>
                <w:lang/>
              </w:rPr>
              <w:t>how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Si rimanda alla programmazione di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Competenze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Si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rimanda alla programmazione di D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ipartimento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Articolazione per trimestre</w:t>
            </w:r>
          </w:p>
        </w:tc>
      </w:tr>
      <w:tr w:rsidR="00264E04" w:rsidRPr="00DC151D" w:rsidTr="00205D9E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272899" w:rsidRDefault="00264E04" w:rsidP="00264E04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>Elementi della cultura medievale; la nascita della letteratura romanza in Francia; la lirica d’arte in Italia: siciliani e Stil Novo; la figura e l’opera di Dante.</w:t>
            </w:r>
          </w:p>
          <w:p w:rsidR="00264E04" w:rsidRPr="00272899" w:rsidRDefault="00264E04" w:rsidP="00264E04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>Studio del</w:t>
            </w:r>
            <w:r>
              <w:rPr>
                <w:rFonts w:ascii="Trebuchet MS" w:hAnsi="Trebuchet MS" w:cs="Calibri"/>
                <w:sz w:val="20"/>
                <w:szCs w:val="20"/>
              </w:rPr>
              <w:t>l’</w:t>
            </w:r>
            <w:r w:rsidRPr="00C76EEC">
              <w:rPr>
                <w:rFonts w:ascii="Trebuchet MS" w:hAnsi="Trebuchet MS" w:cs="Calibri"/>
                <w:i/>
                <w:sz w:val="20"/>
                <w:szCs w:val="20"/>
              </w:rPr>
              <w:t>Inferno</w:t>
            </w:r>
            <w:r w:rsidRPr="00272899">
              <w:rPr>
                <w:rFonts w:ascii="Trebuchet MS" w:hAnsi="Trebuchet MS" w:cs="Calibri"/>
                <w:i/>
                <w:sz w:val="20"/>
                <w:szCs w:val="20"/>
              </w:rPr>
              <w:t xml:space="preserve"> 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>di Dante</w:t>
            </w:r>
            <w:r>
              <w:rPr>
                <w:rFonts w:ascii="Trebuchet MS" w:hAnsi="Trebuchet MS" w:cs="Calibri"/>
                <w:sz w:val="20"/>
                <w:szCs w:val="20"/>
              </w:rPr>
              <w:t>.</w:t>
            </w:r>
          </w:p>
          <w:p w:rsidR="00264E04" w:rsidRPr="00272899" w:rsidRDefault="00264E04" w:rsidP="00264E04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>La configurazione fisica e morale della cantica; i problemi principali</w:t>
            </w:r>
          </w:p>
          <w:p w:rsidR="00264E04" w:rsidRPr="00E453C1" w:rsidRDefault="00264E04" w:rsidP="00264E04">
            <w:p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</w:rPr>
            </w:pPr>
            <w:r w:rsidRPr="00272899">
              <w:rPr>
                <w:rFonts w:ascii="Trebuchet MS" w:hAnsi="Trebuchet MS" w:cs="Calibri"/>
                <w:sz w:val="20"/>
                <w:szCs w:val="20"/>
              </w:rPr>
              <w:t>Parafrasi, analisi e commento</w:t>
            </w:r>
            <w:r>
              <w:rPr>
                <w:rFonts w:ascii="Trebuchet MS" w:hAnsi="Trebuchet MS" w:cs="Calibri"/>
                <w:sz w:val="20"/>
                <w:szCs w:val="20"/>
              </w:rPr>
              <w:t xml:space="preserve"> in classe dei canti: I;II;III;V</w:t>
            </w:r>
          </w:p>
        </w:tc>
      </w:tr>
      <w:tr w:rsidR="00264E04" w:rsidRPr="00DC151D" w:rsidTr="00205D9E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E453C1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 xml:space="preserve">Il canone trecentesco: Petrarca e Boccaccio. 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>Studio del</w:t>
            </w:r>
            <w:r>
              <w:rPr>
                <w:rFonts w:ascii="Trebuchet MS" w:hAnsi="Trebuchet MS" w:cs="Calibri"/>
                <w:sz w:val="20"/>
                <w:szCs w:val="20"/>
              </w:rPr>
              <w:t>l’</w:t>
            </w:r>
            <w:r w:rsidRPr="00C76EEC">
              <w:rPr>
                <w:rFonts w:ascii="Trebuchet MS" w:hAnsi="Trebuchet MS" w:cs="Calibri"/>
                <w:i/>
                <w:sz w:val="20"/>
                <w:szCs w:val="20"/>
              </w:rPr>
              <w:t>Inferno</w:t>
            </w:r>
            <w:r w:rsidR="00442423">
              <w:rPr>
                <w:rFonts w:ascii="Trebuchet MS" w:hAnsi="Trebuchet MS" w:cs="Calibri"/>
                <w:i/>
                <w:sz w:val="20"/>
                <w:szCs w:val="20"/>
              </w:rPr>
              <w:t xml:space="preserve"> </w:t>
            </w:r>
            <w:r w:rsidR="00442423">
              <w:rPr>
                <w:rFonts w:ascii="Trebuchet MS" w:hAnsi="Trebuchet MS" w:cs="Calibri"/>
                <w:sz w:val="20"/>
                <w:szCs w:val="20"/>
              </w:rPr>
              <w:t>di D</w:t>
            </w:r>
            <w:bookmarkStart w:id="0" w:name="_GoBack"/>
            <w:bookmarkEnd w:id="0"/>
            <w:r w:rsidR="00442423" w:rsidRPr="00442423">
              <w:rPr>
                <w:rFonts w:ascii="Trebuchet MS" w:hAnsi="Trebuchet MS" w:cs="Calibri"/>
                <w:sz w:val="20"/>
                <w:szCs w:val="20"/>
              </w:rPr>
              <w:t>ante</w:t>
            </w:r>
            <w:r w:rsidRPr="00272899">
              <w:rPr>
                <w:rFonts w:ascii="Trebuchet MS" w:hAnsi="Trebuchet MS" w:cs="Calibri"/>
                <w:sz w:val="20"/>
                <w:szCs w:val="20"/>
              </w:rPr>
              <w:t>: parafrasi, analisi e comm</w:t>
            </w:r>
            <w:r>
              <w:rPr>
                <w:rFonts w:ascii="Trebuchet MS" w:hAnsi="Trebuchet MS" w:cs="Calibri"/>
                <w:sz w:val="20"/>
                <w:szCs w:val="20"/>
              </w:rPr>
              <w:t>ento in classe dei canti: VI; X; XIII; XV.</w:t>
            </w:r>
          </w:p>
        </w:tc>
      </w:tr>
      <w:tr w:rsidR="00264E04" w:rsidRPr="00DC151D" w:rsidTr="00205D9E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Default="00264E04" w:rsidP="00264E04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Caratteri della cultura umanistica; letteratura nella Firenze medicea; Machiavelli e la coscienza della crisi.</w:t>
            </w:r>
          </w:p>
          <w:p w:rsidR="00264E04" w:rsidRPr="00264E04" w:rsidRDefault="00264E04" w:rsidP="00264E04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542E52">
              <w:rPr>
                <w:rFonts w:ascii="Trebuchet MS" w:hAnsi="Trebuchet MS" w:cs="Calibri"/>
                <w:sz w:val="20"/>
                <w:szCs w:val="20"/>
              </w:rPr>
              <w:t>Studio de</w:t>
            </w:r>
            <w:r>
              <w:rPr>
                <w:rFonts w:ascii="Trebuchet MS" w:hAnsi="Trebuchet MS" w:cs="Calibri"/>
                <w:sz w:val="20"/>
                <w:szCs w:val="20"/>
              </w:rPr>
              <w:t>l</w:t>
            </w:r>
            <w:r w:rsidRPr="00542E52">
              <w:rPr>
                <w:rFonts w:ascii="Trebuchet MS" w:hAnsi="Trebuchet MS" w:cs="Calibri"/>
                <w:sz w:val="20"/>
                <w:szCs w:val="20"/>
              </w:rPr>
              <w:t>l</w:t>
            </w:r>
            <w:r>
              <w:rPr>
                <w:rFonts w:ascii="Trebuchet MS" w:hAnsi="Trebuchet MS" w:cs="Calibri"/>
                <w:sz w:val="20"/>
                <w:szCs w:val="20"/>
              </w:rPr>
              <w:t xml:space="preserve">’ </w:t>
            </w:r>
            <w:r w:rsidRPr="00C76EEC">
              <w:rPr>
                <w:rFonts w:ascii="Trebuchet MS" w:hAnsi="Trebuchet MS" w:cs="Calibri"/>
                <w:i/>
                <w:sz w:val="20"/>
                <w:szCs w:val="20"/>
              </w:rPr>
              <w:t>Inferno</w:t>
            </w:r>
            <w:r w:rsidRPr="00542E52">
              <w:rPr>
                <w:rFonts w:ascii="Trebuchet MS" w:hAnsi="Trebuchet MS" w:cs="Calibri"/>
                <w:sz w:val="20"/>
                <w:szCs w:val="20"/>
              </w:rPr>
              <w:t xml:space="preserve"> di Dante: parafrasi, </w:t>
            </w:r>
            <w:r>
              <w:rPr>
                <w:rFonts w:ascii="Trebuchet MS" w:hAnsi="Trebuchet MS" w:cs="Calibri"/>
                <w:sz w:val="20"/>
                <w:szCs w:val="20"/>
              </w:rPr>
              <w:t>analisi e commento in classe dei canti XVI (parziale) e</w:t>
            </w:r>
            <w:r w:rsidRPr="00542E52">
              <w:rPr>
                <w:rFonts w:ascii="Trebuchet MS" w:hAnsi="Trebuchet MS" w:cs="Calibri"/>
                <w:sz w:val="20"/>
                <w:szCs w:val="20"/>
              </w:rPr>
              <w:t xml:space="preserve"> X</w:t>
            </w:r>
            <w:r>
              <w:rPr>
                <w:rFonts w:ascii="Trebuchet MS" w:hAnsi="Trebuchet MS" w:cs="Calibri"/>
                <w:sz w:val="20"/>
                <w:szCs w:val="20"/>
              </w:rPr>
              <w:t>X</w:t>
            </w:r>
            <w:r w:rsidRPr="00542E52">
              <w:rPr>
                <w:rFonts w:ascii="Trebuchet MS" w:hAnsi="Trebuchet MS" w:cs="Calibri"/>
                <w:sz w:val="20"/>
                <w:szCs w:val="20"/>
              </w:rPr>
              <w:t>VI</w:t>
            </w:r>
            <w:r>
              <w:rPr>
                <w:rFonts w:ascii="Trebuchet MS" w:hAnsi="Trebuchet MS" w:cs="Calibri"/>
                <w:sz w:val="20"/>
                <w:szCs w:val="20"/>
              </w:rPr>
              <w:t>.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Metodologia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L’insegnamento si avvarrà di: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Lezioni frontali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Discussioni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Approfondimenti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di gruppo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Relazioni</w:t>
            </w:r>
          </w:p>
          <w:p w:rsidR="00264E04" w:rsidRPr="005B114A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Ese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rcitazioni guidate </w:t>
            </w:r>
            <w:r w:rsidRPr="007A0803">
              <w:rPr>
                <w:rFonts w:ascii="Trebuchet MS" w:hAnsi="Trebuchet MS" w:cs="Calibri"/>
                <w:sz w:val="20"/>
                <w:szCs w:val="20"/>
                <w:lang/>
              </w:rPr>
              <w:t xml:space="preserve"> </w:t>
            </w:r>
          </w:p>
        </w:tc>
      </w:tr>
    </w:tbl>
    <w:p w:rsidR="00264E04" w:rsidRDefault="00264E04" w:rsidP="00264E04"/>
    <w:p w:rsidR="00264E04" w:rsidRDefault="00264E04" w:rsidP="00264E04"/>
    <w:p w:rsidR="00264E04" w:rsidRDefault="00264E04" w:rsidP="00264E04"/>
    <w:p w:rsidR="00264E04" w:rsidRDefault="00264E04" w:rsidP="00264E04"/>
    <w:p w:rsidR="00264E04" w:rsidRDefault="00264E04" w:rsidP="00264E04"/>
    <w:p w:rsidR="00264E04" w:rsidRDefault="00264E04" w:rsidP="00264E04"/>
    <w:p w:rsidR="00264E04" w:rsidRDefault="00264E04" w:rsidP="00264E04"/>
    <w:tbl>
      <w:tblPr>
        <w:tblW w:w="0" w:type="auto"/>
        <w:tblInd w:w="108" w:type="dxa"/>
        <w:tblLayout w:type="fixed"/>
        <w:tblLook w:val="0000"/>
      </w:tblPr>
      <w:tblGrid>
        <w:gridCol w:w="3085"/>
        <w:gridCol w:w="6693"/>
      </w:tblGrid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Verifiche</w:t>
            </w:r>
          </w:p>
          <w:p w:rsidR="00264E04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Le verifiche sommative saranno finalizzate all’accertamento del raggiungimento degli obiettivi prefissati per le varie unità. 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Ci si avvarrà in particolare di: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Elaborati scritti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>colloqui</w:t>
            </w: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 xml:space="preserve"> orali</w:t>
            </w:r>
          </w:p>
          <w:p w:rsidR="00264E04" w:rsidRPr="00675D3B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i/>
                <w:sz w:val="20"/>
                <w:szCs w:val="20"/>
                <w:lang/>
              </w:rPr>
            </w:pPr>
            <w:r w:rsidRPr="00675D3B">
              <w:rPr>
                <w:rFonts w:ascii="Trebuchet MS" w:hAnsi="Trebuchet MS" w:cs="Calibri"/>
                <w:i/>
                <w:sz w:val="20"/>
                <w:szCs w:val="20"/>
                <w:lang/>
              </w:rPr>
              <w:t>Test</w:t>
            </w:r>
            <w:r>
              <w:rPr>
                <w:rFonts w:ascii="Trebuchet MS" w:hAnsi="Trebuchet MS" w:cs="Calibri"/>
                <w:i/>
                <w:sz w:val="20"/>
                <w:szCs w:val="20"/>
                <w:lang/>
              </w:rPr>
              <w:t xml:space="preserve"> 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strutturati e semi – strutturati validi per l’orale.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Nel corso dell’anno sono previsti non meno di due verif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iche scritte nel trimestre e quattro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 nel pentamestre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; per l’orale due valutazioni nel trimestre e almeno tre nel pentamestre.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Valutazione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La valutazione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 xml:space="preserve">verrà articolata sulla base dei seguenti elementi: 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Verifiche scritte ed orali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Costanza nella frequenza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Impegno regolare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attiva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Interesse particolare per la disciplina</w:t>
            </w:r>
          </w:p>
          <w:p w:rsidR="00264E04" w:rsidRPr="00500BD1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Partecipazione ad attività extracurriculari attinenti alla disciplina</w:t>
            </w:r>
          </w:p>
          <w:p w:rsidR="00264E04" w:rsidRPr="00675D3B" w:rsidRDefault="00264E04" w:rsidP="00205D9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20" w:after="20"/>
              <w:ind w:left="720" w:hanging="36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500BD1">
              <w:rPr>
                <w:rFonts w:ascii="Trebuchet MS" w:hAnsi="Trebuchet MS" w:cs="Calibri"/>
                <w:sz w:val="20"/>
                <w:szCs w:val="20"/>
                <w:lang/>
              </w:rPr>
              <w:t>Approfondimento autonomo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Criteri e parametri di verifica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Nell’ambito delle attività dipartimentali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sono  stati concordati i criteri ed i parametri di verifica che fanno parte del POF 2014/2015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>.</w:t>
            </w:r>
          </w:p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Per quanto riguarda gli indicatori di valutazione si rimanda alle griglie specifiche deliberate dal Collegio Docenti (seduta del 9/10/2014).</w:t>
            </w:r>
          </w:p>
        </w:tc>
      </w:tr>
      <w:tr w:rsidR="00264E04" w:rsidRPr="00C76EEC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sostegno e recupero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4D063B" w:rsidRDefault="00264E04" w:rsidP="00205D9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4D063B">
              <w:rPr>
                <w:rFonts w:ascii="Trebuchet MS" w:hAnsi="Trebuchet MS" w:cs="Calibri"/>
                <w:sz w:val="20"/>
                <w:szCs w:val="20"/>
                <w:lang/>
              </w:rPr>
              <w:t>Recupero curriculare.</w:t>
            </w:r>
          </w:p>
          <w:p w:rsidR="00264E04" w:rsidRPr="004D063B" w:rsidRDefault="00264E04" w:rsidP="00205D9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4D063B">
              <w:rPr>
                <w:rFonts w:ascii="Trebuchet MS" w:hAnsi="Trebuchet MS" w:cs="Calibri"/>
                <w:sz w:val="20"/>
                <w:szCs w:val="20"/>
                <w:lang/>
              </w:rPr>
              <w:t>Recupero motivazionale.</w:t>
            </w:r>
          </w:p>
          <w:p w:rsidR="00264E04" w:rsidRPr="00072343" w:rsidRDefault="00264E04" w:rsidP="00205D9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  <w:lang w:val="en-US"/>
              </w:rPr>
            </w:pPr>
            <w:r w:rsidRPr="00072343">
              <w:rPr>
                <w:rFonts w:ascii="Trebuchet MS" w:hAnsi="Trebuchet MS" w:cs="Calibri"/>
                <w:sz w:val="20"/>
                <w:szCs w:val="20"/>
                <w:lang w:val="en-US"/>
              </w:rPr>
              <w:t>Studio assistito (</w:t>
            </w:r>
            <w:r w:rsidRPr="00072343">
              <w:rPr>
                <w:rFonts w:ascii="Trebuchet MS" w:hAnsi="Trebuchet MS" w:cs="Calibri"/>
                <w:i/>
                <w:iCs/>
                <w:sz w:val="20"/>
                <w:szCs w:val="20"/>
                <w:lang w:val="en-US"/>
              </w:rPr>
              <w:t>peer to peer education</w:t>
            </w:r>
            <w:r w:rsidRPr="00072343">
              <w:rPr>
                <w:rFonts w:ascii="Trebuchet MS" w:hAnsi="Trebuchet MS" w:cs="Calibri"/>
                <w:sz w:val="20"/>
                <w:szCs w:val="20"/>
                <w:lang w:val="en-US"/>
              </w:rPr>
              <w:t xml:space="preserve">). </w:t>
            </w:r>
          </w:p>
          <w:p w:rsidR="00264E04" w:rsidRPr="004D063B" w:rsidRDefault="00264E04" w:rsidP="00205D9E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spacing w:before="20" w:after="20"/>
              <w:jc w:val="both"/>
              <w:rPr>
                <w:rFonts w:ascii="Trebuchet MS" w:hAnsi="Trebuchet MS" w:cs="Calibri"/>
                <w:sz w:val="20"/>
                <w:szCs w:val="20"/>
                <w:lang/>
              </w:rPr>
            </w:pPr>
            <w:r w:rsidRPr="004D063B">
              <w:rPr>
                <w:rFonts w:ascii="Trebuchet MS" w:hAnsi="Trebuchet MS" w:cs="Calibri"/>
                <w:sz w:val="20"/>
                <w:szCs w:val="20"/>
                <w:lang/>
              </w:rPr>
              <w:t>Corsi di recupero.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di approfondimento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  <w:lang/>
              </w:rPr>
            </w:pP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Percorsi interdisciplinari per cui </w:t>
            </w:r>
            <w:r w:rsidRPr="00DC151D">
              <w:rPr>
                <w:rFonts w:ascii="Trebuchet MS" w:hAnsi="Trebuchet MS" w:cs="Calibri"/>
                <w:sz w:val="20"/>
                <w:szCs w:val="20"/>
                <w:lang/>
              </w:rPr>
              <w:t>si rimanda</w:t>
            </w:r>
            <w:r>
              <w:rPr>
                <w:rFonts w:ascii="Trebuchet MS" w:hAnsi="Trebuchet MS" w:cs="Calibri"/>
                <w:sz w:val="20"/>
                <w:szCs w:val="20"/>
                <w:lang/>
              </w:rPr>
              <w:t xml:space="preserve"> alla programmazione di classe. </w:t>
            </w:r>
          </w:p>
        </w:tc>
      </w:tr>
      <w:tr w:rsidR="00264E04" w:rsidRPr="00DC151D" w:rsidTr="00205D9E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64E04" w:rsidRPr="00DC151D" w:rsidRDefault="00264E04" w:rsidP="00205D9E">
            <w:p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mallCaps/>
                <w:sz w:val="20"/>
                <w:szCs w:val="20"/>
                <w:lang/>
              </w:rPr>
            </w:pPr>
            <w:r w:rsidRPr="00DC151D">
              <w:rPr>
                <w:rFonts w:ascii="Trebuchet MS" w:hAnsi="Trebuchet MS" w:cs="Calibri"/>
                <w:b/>
                <w:bCs/>
                <w:smallCaps/>
                <w:sz w:val="20"/>
                <w:szCs w:val="20"/>
                <w:lang/>
              </w:rPr>
              <w:t>Attività complementari e integrative</w:t>
            </w:r>
          </w:p>
        </w:tc>
        <w:tc>
          <w:tcPr>
            <w:tcW w:w="669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423" w:rsidRPr="00442423" w:rsidRDefault="00442423" w:rsidP="0044242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442423">
              <w:rPr>
                <w:rFonts w:ascii="Trebuchet MS" w:hAnsi="Trebuchet MS" w:cs="Calibri"/>
                <w:sz w:val="20"/>
                <w:szCs w:val="20"/>
              </w:rPr>
              <w:t>Tre mattinate dedicate a spettacoli teatrali nelle tre lingue del curricolo;</w:t>
            </w:r>
          </w:p>
          <w:p w:rsidR="00442423" w:rsidRPr="00442423" w:rsidRDefault="00442423" w:rsidP="0044242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>
              <w:rPr>
                <w:rFonts w:ascii="Trebuchet MS" w:hAnsi="Trebuchet MS" w:cs="Calibri"/>
                <w:sz w:val="20"/>
                <w:szCs w:val="20"/>
              </w:rPr>
              <w:t>visita alla mostra sui numeri o</w:t>
            </w:r>
            <w:r w:rsidRPr="00442423">
              <w:rPr>
                <w:rFonts w:ascii="Trebuchet MS" w:hAnsi="Trebuchet MS" w:cs="Calibri"/>
                <w:sz w:val="20"/>
                <w:szCs w:val="20"/>
              </w:rPr>
              <w:t xml:space="preserve"> alla mostra su Erscher (matematica);</w:t>
            </w:r>
          </w:p>
          <w:p w:rsidR="00442423" w:rsidRPr="00442423" w:rsidRDefault="00442423" w:rsidP="0044242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442423">
              <w:rPr>
                <w:rFonts w:ascii="Trebuchet MS" w:hAnsi="Trebuchet MS" w:cs="Calibri"/>
                <w:sz w:val="20"/>
                <w:szCs w:val="20"/>
              </w:rPr>
              <w:t xml:space="preserve">possibilità di partecipazione alla visita a Pompei nel quadro dello scambio di Istituto con gli U.S.A o, in alternativa, stage di lingua inglese (da definire); </w:t>
            </w:r>
          </w:p>
          <w:p w:rsidR="00442423" w:rsidRPr="00442423" w:rsidRDefault="00442423" w:rsidP="0044242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442423">
              <w:rPr>
                <w:rFonts w:ascii="Trebuchet MS" w:hAnsi="Trebuchet MS" w:cs="Calibri"/>
                <w:sz w:val="20"/>
                <w:szCs w:val="20"/>
              </w:rPr>
              <w:t xml:space="preserve">una mattinata dedicata ad iniziative di Educazione Fisica; </w:t>
            </w:r>
          </w:p>
          <w:p w:rsidR="00264E04" w:rsidRPr="00442423" w:rsidRDefault="00442423" w:rsidP="00442423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20" w:after="20"/>
              <w:rPr>
                <w:rFonts w:ascii="Trebuchet MS" w:hAnsi="Trebuchet MS" w:cs="Calibri"/>
                <w:sz w:val="20"/>
                <w:szCs w:val="20"/>
              </w:rPr>
            </w:pPr>
            <w:r w:rsidRPr="00442423">
              <w:rPr>
                <w:rFonts w:ascii="Trebuchet MS" w:hAnsi="Trebuchet MS" w:cs="Calibri"/>
                <w:sz w:val="20"/>
                <w:szCs w:val="20"/>
              </w:rPr>
              <w:t>partecipazione ad altri eventi di riconosciuto interesse culturale e formativo.</w:t>
            </w:r>
          </w:p>
        </w:tc>
      </w:tr>
    </w:tbl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z w:val="22"/>
          <w:szCs w:val="22"/>
          <w:lang/>
        </w:rPr>
      </w:pPr>
    </w:p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mallCaps/>
          <w:sz w:val="20"/>
          <w:szCs w:val="20"/>
          <w:u w:val="single"/>
          <w:lang/>
        </w:rPr>
      </w:pPr>
      <w:r w:rsidRPr="00DC151D">
        <w:rPr>
          <w:rFonts w:ascii="Trebuchet MS" w:hAnsi="Trebuchet MS" w:cs="Calibri"/>
          <w:smallCaps/>
          <w:sz w:val="20"/>
          <w:szCs w:val="20"/>
          <w:u w:val="single"/>
          <w:lang/>
        </w:rPr>
        <w:t>Il docente</w:t>
      </w:r>
    </w:p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i/>
          <w:sz w:val="20"/>
          <w:szCs w:val="20"/>
          <w:lang/>
        </w:rPr>
      </w:pPr>
      <w:r w:rsidRPr="00DC151D">
        <w:rPr>
          <w:rFonts w:ascii="Trebuchet MS" w:hAnsi="Trebuchet MS" w:cs="Calibri"/>
          <w:i/>
          <w:sz w:val="20"/>
          <w:szCs w:val="20"/>
          <w:lang/>
        </w:rPr>
        <w:t>Prof.</w:t>
      </w:r>
      <w:r>
        <w:rPr>
          <w:rFonts w:ascii="Trebuchet MS" w:hAnsi="Trebuchet MS" w:cs="Calibri"/>
          <w:i/>
          <w:sz w:val="20"/>
          <w:szCs w:val="20"/>
          <w:lang/>
        </w:rPr>
        <w:t>Stefano Circi</w:t>
      </w:r>
    </w:p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264E04" w:rsidRPr="00DC151D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sz w:val="20"/>
          <w:szCs w:val="20"/>
          <w:lang/>
        </w:rPr>
      </w:pPr>
    </w:p>
    <w:p w:rsidR="00264E04" w:rsidRPr="007A5100" w:rsidRDefault="00264E04" w:rsidP="00264E04">
      <w:pPr>
        <w:autoSpaceDE w:val="0"/>
        <w:autoSpaceDN w:val="0"/>
        <w:adjustRightInd w:val="0"/>
        <w:jc w:val="both"/>
        <w:rPr>
          <w:rFonts w:ascii="Trebuchet MS" w:hAnsi="Trebuchet MS" w:cs="Calibri"/>
          <w:b/>
          <w:sz w:val="20"/>
          <w:szCs w:val="20"/>
          <w:lang/>
        </w:rPr>
      </w:pPr>
      <w:r w:rsidRPr="007A5100">
        <w:rPr>
          <w:rFonts w:ascii="Trebuchet MS" w:hAnsi="Trebuchet MS" w:cs="Calibri"/>
          <w:b/>
          <w:sz w:val="20"/>
          <w:szCs w:val="20"/>
          <w:lang/>
        </w:rPr>
        <w:t>Roma, 29.11.2014</w:t>
      </w:r>
    </w:p>
    <w:sectPr w:rsidR="00264E04" w:rsidRPr="007A5100" w:rsidSect="00DC151D">
      <w:footerReference w:type="default" r:id="rId7"/>
      <w:pgSz w:w="12240" w:h="15840"/>
      <w:pgMar w:top="1134" w:right="1134" w:bottom="1134" w:left="1134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5AA3" w:rsidRDefault="006D5AA3" w:rsidP="00072343">
      <w:r>
        <w:separator/>
      </w:r>
    </w:p>
  </w:endnote>
  <w:endnote w:type="continuationSeparator" w:id="0">
    <w:p w:rsidR="006D5AA3" w:rsidRDefault="006D5AA3" w:rsidP="00072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13913011"/>
      <w:docPartObj>
        <w:docPartGallery w:val="Page Numbers (Bottom of Page)"/>
        <w:docPartUnique/>
      </w:docPartObj>
    </w:sdtPr>
    <w:sdtContent>
      <w:p w:rsidR="00072343" w:rsidRDefault="00A74979">
        <w:pPr>
          <w:pStyle w:val="Pidipagina"/>
          <w:jc w:val="center"/>
        </w:pPr>
        <w:r>
          <w:fldChar w:fldCharType="begin"/>
        </w:r>
        <w:r w:rsidR="00072343">
          <w:instrText>PAGE   \* MERGEFORMAT</w:instrText>
        </w:r>
        <w:r>
          <w:fldChar w:fldCharType="separate"/>
        </w:r>
        <w:r w:rsidR="00DD6B6E">
          <w:rPr>
            <w:noProof/>
          </w:rPr>
          <w:t>3</w:t>
        </w:r>
        <w:r>
          <w:fldChar w:fldCharType="end"/>
        </w:r>
      </w:p>
    </w:sdtContent>
  </w:sdt>
  <w:p w:rsidR="00072343" w:rsidRDefault="00072343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5AA3" w:rsidRDefault="006D5AA3" w:rsidP="00072343">
      <w:r>
        <w:separator/>
      </w:r>
    </w:p>
  </w:footnote>
  <w:footnote w:type="continuationSeparator" w:id="0">
    <w:p w:rsidR="006D5AA3" w:rsidRDefault="006D5AA3" w:rsidP="000723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0BBC5CB8"/>
    <w:multiLevelType w:val="hybridMultilevel"/>
    <w:tmpl w:val="9516F01E"/>
    <w:lvl w:ilvl="0" w:tplc="157E0AB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A3F5956"/>
    <w:multiLevelType w:val="hybridMultilevel"/>
    <w:tmpl w:val="F8683B6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BE40155"/>
    <w:multiLevelType w:val="hybridMultilevel"/>
    <w:tmpl w:val="982C658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A93"/>
    <w:rsid w:val="00072343"/>
    <w:rsid w:val="000C5C85"/>
    <w:rsid w:val="00264E04"/>
    <w:rsid w:val="00287A93"/>
    <w:rsid w:val="004161C4"/>
    <w:rsid w:val="00442423"/>
    <w:rsid w:val="006D5AA3"/>
    <w:rsid w:val="00A74979"/>
    <w:rsid w:val="00B7072A"/>
    <w:rsid w:val="00DD6B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E0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723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234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23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23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4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64E04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7234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72343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07234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72343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850</Words>
  <Characters>4851</Characters>
  <Application>Microsoft Office Word</Application>
  <DocSecurity>0</DocSecurity>
  <Lines>40</Lines>
  <Paragraphs>11</Paragraphs>
  <ScaleCrop>false</ScaleCrop>
  <Company>HP</Company>
  <LinksUpToDate>false</LinksUpToDate>
  <CharactersWithSpaces>5690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Stefano</dc:creator>
  <cp:lastModifiedBy>rita</cp:lastModifiedBy>
  <cp:revision>2</cp:revision>
  <dcterms:created xsi:type="dcterms:W3CDTF">2014-12-28T14:49:00Z</dcterms:created>
  <dcterms:modified xsi:type="dcterms:W3CDTF">2014-12-28T14:49:00Z</dcterms:modified>
</cp:coreProperties>
</file>