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065CC9">
      <w:pPr>
        <w:pStyle w:val="Predefinito"/>
        <w:keepNext/>
        <w:keepLines/>
        <w:spacing w:before="200" w:line="360" w:lineRule="auto"/>
        <w:jc w:val="center"/>
      </w:pPr>
      <w:r>
        <w:rPr>
          <w:rFonts w:ascii="Cambria"/>
          <w:b/>
          <w:bCs/>
          <w:color w:val="4F81BD"/>
          <w:sz w:val="26"/>
          <w:szCs w:val="22"/>
          <w:lang/>
        </w:rPr>
        <w:t xml:space="preserve">LICEO CLASSICO E LINGUISTICO STATALE  </w:t>
      </w:r>
      <w:r>
        <w:rPr>
          <w:rFonts w:ascii="Cambria"/>
          <w:b/>
          <w:bCs/>
          <w:color w:val="4F81BD"/>
          <w:sz w:val="26"/>
          <w:szCs w:val="22"/>
          <w:lang/>
        </w:rPr>
        <w:t>“</w:t>
      </w:r>
      <w:r>
        <w:rPr>
          <w:rFonts w:ascii="Cambria"/>
          <w:b/>
          <w:bCs/>
          <w:color w:val="4F81BD"/>
          <w:sz w:val="26"/>
          <w:szCs w:val="22"/>
          <w:lang/>
        </w:rPr>
        <w:t>ARISTOFANE</w:t>
      </w:r>
      <w:r>
        <w:rPr>
          <w:rFonts w:ascii="Cambria"/>
          <w:b/>
          <w:bCs/>
          <w:color w:val="4F81BD"/>
          <w:sz w:val="26"/>
          <w:szCs w:val="22"/>
          <w:lang/>
        </w:rPr>
        <w:t>”</w:t>
      </w:r>
    </w:p>
    <w:p w:rsidR="00000000" w:rsidRDefault="00065CC9">
      <w:pPr>
        <w:pStyle w:val="Predefinito"/>
        <w:jc w:val="center"/>
      </w:pPr>
      <w:r>
        <w:rPr>
          <w:rFonts w:ascii="Calibri"/>
          <w:b/>
          <w:i/>
          <w:color w:val="4F81BD"/>
          <w:sz w:val="36"/>
          <w:lang/>
        </w:rPr>
        <w:t>ANNO SCOLASTICO 2014-2015</w:t>
      </w:r>
    </w:p>
    <w:p w:rsidR="00000000" w:rsidRDefault="00065CC9">
      <w:pPr>
        <w:pStyle w:val="Predefinito"/>
        <w:jc w:val="center"/>
      </w:pPr>
      <w:r>
        <w:rPr>
          <w:rFonts w:ascii="Cambria"/>
          <w:color w:val="17365D"/>
          <w:spacing w:val="5"/>
          <w:sz w:val="44"/>
          <w:lang/>
        </w:rPr>
        <w:t xml:space="preserve">PROGRAMMAZIONE DIDATTICA DI </w:t>
      </w:r>
    </w:p>
    <w:p w:rsidR="00000000" w:rsidRDefault="00065CC9">
      <w:pPr>
        <w:pStyle w:val="Predefinito"/>
        <w:spacing w:after="300"/>
        <w:jc w:val="center"/>
      </w:pPr>
      <w:r>
        <w:rPr>
          <w:rFonts w:ascii="Cambria"/>
          <w:color w:val="17365D"/>
          <w:spacing w:val="5"/>
          <w:sz w:val="44"/>
          <w:lang/>
        </w:rPr>
        <w:t>Religione Cattolica</w:t>
      </w:r>
    </w:p>
    <w:tbl>
      <w:tblPr>
        <w:tblW w:w="0" w:type="auto"/>
        <w:tblInd w:w="108" w:type="dxa"/>
        <w:tblLayout w:type="fixed"/>
        <w:tblLook w:val="0000"/>
      </w:tblPr>
      <w:tblGrid>
        <w:gridCol w:w="4889"/>
        <w:gridCol w:w="4889"/>
      </w:tblGrid>
      <w:tr w:rsidR="00000000">
        <w:trPr>
          <w:trHeight w:val="23"/>
        </w:trPr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color w:val="C00000"/>
                <w:sz w:val="28"/>
                <w:lang/>
              </w:rPr>
              <w:t>DOCENTE</w:t>
            </w:r>
            <w:r>
              <w:rPr>
                <w:rFonts w:ascii="Calibri"/>
                <w:b/>
                <w:sz w:val="28"/>
                <w:lang/>
              </w:rPr>
              <w:t>: Giorgio Mattiocco</w:t>
            </w:r>
          </w:p>
        </w:tc>
        <w:tc>
          <w:tcPr>
            <w:tcW w:w="488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color w:val="C00000"/>
                <w:sz w:val="28"/>
                <w:lang/>
              </w:rPr>
              <w:t>CLASSE</w:t>
            </w:r>
            <w:r>
              <w:rPr>
                <w:rFonts w:ascii="Calibri"/>
                <w:b/>
                <w:sz w:val="28"/>
                <w:lang/>
              </w:rPr>
              <w:t>:</w:t>
            </w:r>
            <w:r>
              <w:rPr>
                <w:rFonts w:ascii="Calibri"/>
                <w:b/>
                <w:sz w:val="22"/>
                <w:lang/>
              </w:rPr>
              <w:t xml:space="preserve"> 2HL</w:t>
            </w:r>
          </w:p>
        </w:tc>
      </w:tr>
    </w:tbl>
    <w:p w:rsidR="00000000" w:rsidRDefault="00065CC9">
      <w:pPr>
        <w:pStyle w:val="Predefinito"/>
      </w:pPr>
    </w:p>
    <w:p w:rsidR="00000000" w:rsidRDefault="00065CC9">
      <w:pPr>
        <w:pStyle w:val="Predefinito"/>
        <w:jc w:val="both"/>
      </w:pPr>
    </w:p>
    <w:tbl>
      <w:tblPr>
        <w:tblW w:w="0" w:type="auto"/>
        <w:tblInd w:w="108" w:type="dxa"/>
        <w:tblLayout w:type="fixed"/>
        <w:tblLook w:val="0000"/>
      </w:tblPr>
      <w:tblGrid>
        <w:gridCol w:w="3085"/>
        <w:gridCol w:w="2135"/>
        <w:gridCol w:w="4565"/>
      </w:tblGrid>
      <w:tr w:rsidR="00000000">
        <w:trPr>
          <w:trHeight w:val="621"/>
        </w:trPr>
        <w:tc>
          <w:tcPr>
            <w:tcW w:w="978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000000" w:rsidRDefault="00065CC9">
            <w:pPr>
              <w:pStyle w:val="Predefinito"/>
              <w:jc w:val="center"/>
            </w:pPr>
            <w:r>
              <w:rPr>
                <w:rFonts w:ascii="Calibri"/>
                <w:b/>
                <w:sz w:val="32"/>
                <w:lang/>
              </w:rPr>
              <w:t>Programmazione disciplinare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  <w:r>
              <w:rPr>
                <w:rFonts w:ascii="Calibri"/>
                <w:b/>
                <w:sz w:val="22"/>
                <w:lang/>
              </w:rPr>
              <w:t>Descrizione della classe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spacing w:before="57" w:after="57"/>
              <w:jc w:val="both"/>
            </w:pPr>
            <w:r>
              <w:rPr>
                <w:rFonts w:ascii="Calibri"/>
                <w:sz w:val="22"/>
                <w:lang/>
              </w:rPr>
              <w:t xml:space="preserve">Il gruppo degli studenti che si avvalgono dell'IRC </w:t>
            </w:r>
            <w:r>
              <w:rPr>
                <w:rFonts w:ascii="Calibri"/>
                <w:sz w:val="22"/>
                <w:lang/>
              </w:rPr>
              <w:t>è</w:t>
            </w:r>
            <w:r>
              <w:rPr>
                <w:rFonts w:ascii="Calibri"/>
                <w:sz w:val="22"/>
                <w:lang/>
              </w:rPr>
              <w:t xml:space="preserve"> costituito dalla grande maggioranza della classe. Gli studenti, oltre ad aver dimostrato un atteggiamento corretto e rispettoso nei confronti del docente, hanno manifestato un atteggiamento positivo rispetto alle sollecitazioni didattiche e al dialogo edu</w:t>
            </w:r>
            <w:r>
              <w:rPr>
                <w:rFonts w:ascii="Calibri"/>
                <w:sz w:val="22"/>
                <w:lang/>
              </w:rPr>
              <w:t>cativo.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Situazione iniziale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spacing w:before="57" w:after="57"/>
              <w:jc w:val="both"/>
            </w:pPr>
            <w:r>
              <w:rPr>
                <w:rFonts w:ascii="Calibri"/>
                <w:sz w:val="22"/>
                <w:lang/>
              </w:rPr>
              <w:t>Le capacit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evidenziate nelle prime settimane di lezione permettono di ritenere che gli studenti possiedano tutti i prerequisiti per un ottimale svolgimento del percorso didattico. 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Finalit</w:t>
            </w:r>
            <w:r>
              <w:rPr>
                <w:rFonts w:ascii="Calibri"/>
                <w:b/>
                <w:sz w:val="22"/>
                <w:lang/>
              </w:rPr>
              <w:t>à</w:t>
            </w:r>
            <w:r>
              <w:rPr>
                <w:rFonts w:ascii="Calibri"/>
                <w:b/>
                <w:sz w:val="22"/>
                <w:lang/>
              </w:rPr>
              <w:t xml:space="preserve"> generali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spacing w:before="57" w:after="57"/>
              <w:jc w:val="both"/>
            </w:pPr>
            <w:r>
              <w:rPr>
                <w:rFonts w:ascii="Calibri"/>
                <w:sz w:val="22"/>
                <w:lang/>
              </w:rPr>
              <w:t>L'insegnamento della religione cattolica (IRC) risponde all'esigenza di riconoscere nei percorsi scolastici il valore della cultura religiosa e il contributo che i principi del cattolicesimo offrono alla formazione globale della persona e al patrimonio sto</w:t>
            </w:r>
            <w:r>
              <w:rPr>
                <w:rFonts w:ascii="Calibri"/>
                <w:sz w:val="22"/>
                <w:lang/>
              </w:rPr>
              <w:t>rico, culturale e civile del popolo italiano.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Concetti fondamentali della disciplina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Macroargomenti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</w:tc>
      </w:tr>
      <w:tr w:rsidR="00000000">
        <w:trPr>
          <w:trHeight w:val="330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 xml:space="preserve">Obiettivi didattici </w:t>
            </w:r>
            <w:r>
              <w:rPr>
                <w:rFonts w:ascii="Calibri"/>
                <w:sz w:val="22"/>
                <w:lang/>
              </w:rPr>
              <w:t>(da compilare solo in caso di scostamento dalla programmazione di dipartimento)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 xml:space="preserve">Conoscenze 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Le conoscenze indicano il risultato dell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assimilazione di informazioni attraverso 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apprendimento. Le conoscenze sono 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insieme di fatti, principi, teorie e pratiche, relative a un settore di studio; le conoscenze sono descritte come teoriche e/o pratiche.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Sapere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Si rimanda alla programmazione di dipartimento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Abilit</w:t>
            </w:r>
            <w:r>
              <w:rPr>
                <w:rFonts w:ascii="Calibri"/>
                <w:b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Le capacit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di applicare conoscenze e di usare know-how per portare a </w:t>
            </w:r>
            <w:r>
              <w:rPr>
                <w:rFonts w:ascii="Calibri"/>
                <w:sz w:val="22"/>
                <w:lang/>
              </w:rPr>
              <w:lastRenderedPageBreak/>
              <w:t>termine compiti e risolvere problemi; le abilit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sono descritte co</w:t>
            </w:r>
            <w:r>
              <w:rPr>
                <w:rFonts w:ascii="Calibri"/>
                <w:sz w:val="22"/>
                <w:lang/>
              </w:rPr>
              <w:t>me cognitive (uso del pensiero logico, intuitivo e creativo) e pratiche (che implicano 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abilit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manuale e 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uso di metodi materiali e strumenti)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Saper fare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  <w:r>
              <w:rPr>
                <w:rFonts w:ascii="Calibri"/>
                <w:sz w:val="22"/>
                <w:lang/>
              </w:rPr>
              <w:lastRenderedPageBreak/>
              <w:t>Si rimanda alla programmazione di dipartimento</w:t>
            </w: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lastRenderedPageBreak/>
              <w:t>Competenze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Le competenze indicano la comprovat</w:t>
            </w:r>
            <w:r>
              <w:rPr>
                <w:rFonts w:ascii="Calibri"/>
                <w:sz w:val="22"/>
                <w:lang/>
              </w:rPr>
              <w:t>a capacit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di usare conoscenze, abilit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e capacit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personali, sociali e/o metodologiche, in situazioni di lavoro o di studio e nello sviluppo professionale e/o personale; le competenze sono descritte in termini di responsabilit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e autonomia.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  <w:r>
              <w:rPr>
                <w:rFonts w:ascii="Calibri"/>
                <w:sz w:val="22"/>
                <w:lang/>
              </w:rPr>
              <w:t xml:space="preserve">Si rimanda </w:t>
            </w:r>
            <w:r>
              <w:rPr>
                <w:rFonts w:ascii="Calibri"/>
                <w:sz w:val="22"/>
                <w:lang/>
              </w:rPr>
              <w:t>alla programmazione di dipartimento</w:t>
            </w: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jc w:val="both"/>
            </w:pPr>
          </w:p>
        </w:tc>
      </w:tr>
      <w:tr w:rsidR="00000000">
        <w:trPr>
          <w:trHeight w:val="23"/>
        </w:trPr>
        <w:tc>
          <w:tcPr>
            <w:tcW w:w="308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Contenuti disciplinari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center"/>
            </w:pPr>
            <w:r>
              <w:rPr>
                <w:rFonts w:ascii="Calibri"/>
                <w:b/>
                <w:sz w:val="22"/>
                <w:lang/>
              </w:rPr>
              <w:t>Articolazione per trimestre</w:t>
            </w:r>
            <w:r>
              <w:rPr>
                <w:rFonts w:ascii="Calibri"/>
                <w:b/>
                <w:sz w:val="22"/>
                <w:lang/>
              </w:rPr>
              <w:br/>
            </w:r>
          </w:p>
        </w:tc>
      </w:tr>
      <w:tr w:rsidR="00000000">
        <w:trPr>
          <w:trHeight w:val="421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  <w:spacing w:after="200" w:line="276" w:lineRule="auto"/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Settembre/Dicembre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1.Introduzione all'Irc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Il contesto storico e culturale della nascita della Scuola Pubblica nello Stato Italiano. Obiettivi della Scuola Pubblica in Italia. La Religione Cattolica come tradizione storico-religiosa del popolo italiano. L'Irc come possibilità di approfondimento, su</w:t>
            </w:r>
            <w:r>
              <w:rPr>
                <w:sz w:val="20"/>
              </w:rPr>
              <w:t xml:space="preserve"> scelta individuale, della tradizione religiosa degli italiani. La multiculturalità e lo studio di altre religioni nel contesto allargato della Comunità Europea e del mondo globalizzato.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2. Il Nuovo Testamento.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Cosa intendiamo per Nuovo Testamento. Il te</w:t>
            </w:r>
            <w:r>
              <w:rPr>
                <w:sz w:val="20"/>
              </w:rPr>
              <w:t>rmine “testamento” e il suo significato. Il Nuovo Testamento come testimonianza storica della nascita del cristianesimo in seno all'Ebraismo antico. La relazione del Nuovo Testamento con l'Antico e coincidenza di tale relazione con quella tra Cristianesimo</w:t>
            </w:r>
            <w:r>
              <w:rPr>
                <w:sz w:val="20"/>
              </w:rPr>
              <w:t xml:space="preserve"> ed Ebraismo. 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 xml:space="preserve">I Vangeli canonici e la loro classificazione. Il perché di quattro diverse redazioni del messaggio di Gesù di Nazareth. I vangeli sinottici, loro relazione con il quarto vangelo. Vangeli canonici e vangeli apocrifi. Gli </w:t>
            </w:r>
            <w:r>
              <w:rPr>
                <w:i/>
                <w:sz w:val="20"/>
              </w:rPr>
              <w:t>Atti degli Apostoli</w:t>
            </w:r>
            <w:r>
              <w:rPr>
                <w:sz w:val="20"/>
              </w:rPr>
              <w:t xml:space="preserve">, </w:t>
            </w:r>
            <w:r>
              <w:rPr>
                <w:sz w:val="20"/>
              </w:rPr>
              <w:t>le Lettere apostoliche e l'</w:t>
            </w:r>
            <w:r>
              <w:rPr>
                <w:i/>
                <w:sz w:val="20"/>
              </w:rPr>
              <w:t>Apocalisse di Giovanni</w:t>
            </w:r>
            <w:r>
              <w:rPr>
                <w:sz w:val="20"/>
              </w:rPr>
              <w:t xml:space="preserve">: fotogrammi della Chiesa nascente. 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</w:tc>
      </w:tr>
      <w:tr w:rsidR="00000000">
        <w:trPr>
          <w:trHeight w:val="414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  <w:spacing w:after="200" w:line="276" w:lineRule="auto"/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Gennaio/Marzo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3. Religioni tradizionali e religioni rivelate.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 xml:space="preserve">Il termine religione. Il concetto di rivelazione. Cosa intendiamo per religione rivelata.  Le religioni tradizionali e le religioni rivelate. L'immagine di Dio nelle religioni tradizionali e nelle religioni rivelate (iconoclastia). I tre grandi monoteismi </w:t>
            </w:r>
            <w:r>
              <w:rPr>
                <w:sz w:val="20"/>
              </w:rPr>
              <w:t>come religioni rivelate. La rivelazione nei grandi monoteismi: Antico Testamento, Nuovo Testamento e Corano. La figura di Gesù al centro della rivelazione cristiana.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4. Introduzione alla simbologia cristiana.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Introduzione ad alcuni antichi simboli paleoc</w:t>
            </w:r>
            <w:r>
              <w:rPr>
                <w:sz w:val="20"/>
              </w:rPr>
              <w:t>ristiani: il pesce, l'ancora, la nave, il pastore etc. Il cristogramma come forma primitiva di riferimento alla croce. La croce come simbolo cristiano privilegiato a partire dall'epoca constantiniana (la battaglia di Ponte Milvio). La croce come immagine d</w:t>
            </w:r>
            <w:r>
              <w:rPr>
                <w:sz w:val="20"/>
              </w:rPr>
              <w:t xml:space="preserve">el Dio cristiano. </w:t>
            </w:r>
          </w:p>
          <w:p w:rsidR="00000000" w:rsidRDefault="00065CC9">
            <w:pPr>
              <w:pStyle w:val="Predefinito"/>
            </w:pPr>
          </w:p>
        </w:tc>
      </w:tr>
      <w:tr w:rsidR="00000000">
        <w:trPr>
          <w:trHeight w:val="420"/>
        </w:trPr>
        <w:tc>
          <w:tcPr>
            <w:tcW w:w="308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  <w:spacing w:after="200" w:line="276" w:lineRule="auto"/>
            </w:pPr>
          </w:p>
        </w:tc>
        <w:tc>
          <w:tcPr>
            <w:tcW w:w="21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Marzo /Giugno</w:t>
            </w:r>
          </w:p>
        </w:tc>
        <w:tc>
          <w:tcPr>
            <w:tcW w:w="45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5. Nozioni di arte e architettura cristiana.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Nozioni generali di icon</w:t>
            </w:r>
            <w:r>
              <w:rPr>
                <w:sz w:val="20"/>
              </w:rPr>
              <w:t xml:space="preserve">ografia cristiana: dai simboli paleocristiani alla rappresentazione dei santi. Alcuni simboli che caratterizzano la raffigurazione dei santi (palma, giglio, aureola etc.). </w:t>
            </w:r>
          </w:p>
          <w:p w:rsidR="00000000" w:rsidRDefault="00065CC9">
            <w:pPr>
              <w:pStyle w:val="Predefinito"/>
            </w:pPr>
            <w:r>
              <w:rPr>
                <w:sz w:val="20"/>
              </w:rPr>
              <w:t>Modelli di chiese cristiane tra Oriente ed Occidente: pianta a croce greca e a croc</w:t>
            </w:r>
            <w:r>
              <w:rPr>
                <w:sz w:val="20"/>
              </w:rPr>
              <w:t>e latina. San Pietro a Roma e Santa Sofia a Instambul-Costantinopoli. Introduzione ai diversi stili architettonici che caratterizzano l'architettura cristiana.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6. Il linguaggio simbolico nelle religioni non cristiane.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Gli spazi celebrativi nei grandi mono</w:t>
            </w:r>
            <w:r>
              <w:rPr>
                <w:sz w:val="20"/>
              </w:rPr>
              <w:t>teismi e nelle religioni orientali (Induismo, Buddismo). L'immagine nei grandi monoteismi e nelle religioni orientali. L'arte aniconica nell'Ebraismo e nell'Islam.</w:t>
            </w:r>
          </w:p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</w:pPr>
            <w:r>
              <w:rPr>
                <w:b/>
                <w:sz w:val="20"/>
              </w:rPr>
              <w:t>7. La dimensione celebrativa nelle grandi religioni.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Il concetto di festa nella sua valenza</w:t>
            </w:r>
            <w:r>
              <w:rPr>
                <w:sz w:val="20"/>
              </w:rPr>
              <w:t xml:space="preserve"> antropologica e religiosa. Elementi di una festa. Lo Shabbat ebraico e il suo significato a partire dall'Antico Testamento. Il giorno sacro nel cristianesimo, nell'ebraismo e nell'Islam. L'Anno Liturgico e le principali festività cristiane. Le principali </w:t>
            </w:r>
            <w:r>
              <w:rPr>
                <w:sz w:val="20"/>
              </w:rPr>
              <w:t>festività nell'Ebraismo e nell'Islam. Il Pellegrinaggio nei monoteismi abramitici.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sz w:val="20"/>
              </w:rPr>
              <w:t>La dimensione celebrativa nelle religioni orientali (Induismo, Buddismo).</w:t>
            </w:r>
          </w:p>
          <w:p w:rsidR="00000000" w:rsidRDefault="00065CC9">
            <w:pPr>
              <w:pStyle w:val="Testonormale"/>
              <w:jc w:val="both"/>
              <w:rPr>
                <w:rFonts w:cs="Times New Roman"/>
              </w:rPr>
            </w:pP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Metodologia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lastRenderedPageBreak/>
              <w:t>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insegnamento si avvarr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di: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lastRenderedPageBreak/>
              <w:t>Lezioni frontali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Discussioni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Lavori di gruppo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Software didattico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 xml:space="preserve">Esercitazioni guidate </w:t>
            </w:r>
            <w:r>
              <w:rPr>
                <w:rFonts w:ascii="Calibri"/>
                <w:sz w:val="22"/>
                <w:lang/>
              </w:rPr>
              <w:t>–</w:t>
            </w:r>
            <w:r>
              <w:rPr>
                <w:rFonts w:ascii="Calibri"/>
                <w:sz w:val="22"/>
                <w:lang/>
              </w:rPr>
              <w:t xml:space="preserve"> laboratorio</w:t>
            </w:r>
          </w:p>
          <w:p w:rsidR="00000000" w:rsidRDefault="00065CC9">
            <w:pPr>
              <w:pStyle w:val="Predefinito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lastRenderedPageBreak/>
              <w:t>Verifiche</w:t>
            </w:r>
          </w:p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Le verifiche sommative saranno finalizzate all</w:t>
            </w:r>
            <w:r>
              <w:rPr>
                <w:rFonts w:ascii="Calibri"/>
                <w:sz w:val="22"/>
                <w:lang/>
              </w:rPr>
              <w:t>’</w:t>
            </w:r>
            <w:r>
              <w:rPr>
                <w:rFonts w:ascii="Calibri"/>
                <w:sz w:val="22"/>
                <w:lang/>
              </w:rPr>
              <w:t>accertamento del raggiungimento degli obiettivi prefissati per le varie unit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>. Ci si avvarr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in particolare di: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Elaborati scritti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Verifiche orali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 xml:space="preserve">Compiti assegnati 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Lavoro di gruppo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Test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Approfondimenti individuali</w:t>
            </w:r>
          </w:p>
          <w:p w:rsidR="00000000" w:rsidRDefault="00065CC9">
            <w:pPr>
              <w:pStyle w:val="Predefinito"/>
              <w:ind w:left="720" w:hanging="360"/>
              <w:jc w:val="both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Valutazione</w:t>
            </w:r>
          </w:p>
          <w:p w:rsidR="00000000" w:rsidRDefault="00065CC9">
            <w:pPr>
              <w:pStyle w:val="Predefinito"/>
            </w:pP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sz w:val="22"/>
                <w:lang/>
              </w:rPr>
              <w:t>La valutazione  verr</w:t>
            </w:r>
            <w:r>
              <w:rPr>
                <w:rFonts w:ascii="Calibri"/>
                <w:sz w:val="22"/>
                <w:lang/>
              </w:rPr>
              <w:t>à</w:t>
            </w:r>
            <w:r>
              <w:rPr>
                <w:rFonts w:ascii="Calibri"/>
                <w:sz w:val="22"/>
                <w:lang/>
              </w:rPr>
              <w:t xml:space="preserve"> articolata sulla base dei seguenti elementi: 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Verifiche scritte ed orali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Costanza nella frequenza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Impegno regolare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Partecipazione attiva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Interesse particolare per la disciplina</w:t>
            </w: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Approfondimento autonomo</w:t>
            </w:r>
          </w:p>
          <w:p w:rsidR="00000000" w:rsidRDefault="00065CC9">
            <w:pPr>
              <w:pStyle w:val="Predefinito"/>
              <w:ind w:left="720" w:hanging="360"/>
              <w:jc w:val="both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Criteri e parametri di verifica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jc w:val="both"/>
            </w:pPr>
            <w:r>
              <w:rPr>
                <w:rFonts w:ascii="Calibri"/>
                <w:sz w:val="22"/>
                <w:lang/>
              </w:rPr>
              <w:t>Nella riunione di dipartimento tenutasi in data 26/09/2014</w:t>
            </w:r>
            <w:r>
              <w:rPr>
                <w:rFonts w:ascii="Calibri"/>
                <w:b/>
                <w:color w:val="C00000"/>
                <w:sz w:val="22"/>
                <w:lang/>
              </w:rPr>
              <w:t xml:space="preserve"> </w:t>
            </w:r>
            <w:r>
              <w:rPr>
                <w:rFonts w:ascii="Calibri"/>
                <w:sz w:val="22"/>
                <w:lang/>
              </w:rPr>
              <w:t xml:space="preserve">sono stati concordati i criteri ed i parametri di verifica che fanno parte del POF 2014/2015. </w:t>
            </w:r>
          </w:p>
          <w:p w:rsidR="00000000" w:rsidRDefault="00065CC9">
            <w:pPr>
              <w:pStyle w:val="Predefinito"/>
              <w:jc w:val="both"/>
            </w:pPr>
            <w:r>
              <w:rPr>
                <w:rFonts w:ascii="Calibri"/>
                <w:sz w:val="22"/>
                <w:lang/>
              </w:rPr>
              <w:t>Per quanto riguarda gli indicatori di valutazione si rimanda alle griglie specifiche elaborate nella stessa riunione, deliberate dal Collegio Docenti (seduta del</w:t>
            </w:r>
            <w:r>
              <w:rPr>
                <w:rFonts w:ascii="Calibri"/>
                <w:sz w:val="22"/>
                <w:lang/>
              </w:rPr>
              <w:t xml:space="preserve"> 9/10/2014).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Attivit</w:t>
            </w:r>
            <w:r>
              <w:rPr>
                <w:rFonts w:ascii="Calibri"/>
                <w:b/>
                <w:sz w:val="22"/>
                <w:lang/>
              </w:rPr>
              <w:t>à</w:t>
            </w:r>
            <w:r>
              <w:rPr>
                <w:rFonts w:ascii="Calibri"/>
                <w:b/>
                <w:sz w:val="22"/>
                <w:lang/>
              </w:rPr>
              <w:t xml:space="preserve"> di sostegno e recupero</w:t>
            </w:r>
          </w:p>
          <w:p w:rsidR="00000000" w:rsidRDefault="00065CC9">
            <w:pPr>
              <w:pStyle w:val="Predefinito"/>
            </w:pP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ind w:left="720" w:hanging="360"/>
              <w:jc w:val="both"/>
            </w:pPr>
          </w:p>
          <w:p w:rsidR="00000000" w:rsidRDefault="00065CC9">
            <w:pPr>
              <w:pStyle w:val="Predefinito"/>
              <w:numPr>
                <w:ilvl w:val="0"/>
                <w:numId w:val="1"/>
              </w:numPr>
              <w:ind w:left="720" w:hanging="360"/>
              <w:jc w:val="both"/>
            </w:pPr>
            <w:r>
              <w:rPr>
                <w:rFonts w:ascii="Calibri"/>
                <w:sz w:val="22"/>
                <w:lang/>
              </w:rPr>
              <w:t>Recupero curriculare</w:t>
            </w:r>
          </w:p>
          <w:p w:rsidR="00000000" w:rsidRDefault="00065CC9">
            <w:pPr>
              <w:pStyle w:val="Predefinito"/>
            </w:pP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Attivit</w:t>
            </w:r>
            <w:r>
              <w:rPr>
                <w:rFonts w:ascii="Calibri"/>
                <w:b/>
                <w:sz w:val="22"/>
                <w:lang/>
              </w:rPr>
              <w:t>à</w:t>
            </w:r>
            <w:r>
              <w:rPr>
                <w:rFonts w:ascii="Calibri"/>
                <w:b/>
                <w:sz w:val="22"/>
                <w:lang/>
              </w:rPr>
              <w:t xml:space="preserve"> di approfondimento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spacing w:before="113" w:after="113"/>
              <w:jc w:val="both"/>
            </w:pPr>
            <w:r>
              <w:rPr>
                <w:rFonts w:ascii="Calibri"/>
                <w:sz w:val="22"/>
                <w:lang/>
              </w:rPr>
              <w:t>/////////////////////////////////////////////////////////////////////////</w:t>
            </w:r>
          </w:p>
        </w:tc>
      </w:tr>
      <w:tr w:rsidR="00000000">
        <w:trPr>
          <w:trHeight w:val="23"/>
        </w:trPr>
        <w:tc>
          <w:tcPr>
            <w:tcW w:w="30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FFFFF"/>
          </w:tcPr>
          <w:p w:rsidR="00000000" w:rsidRDefault="00065CC9">
            <w:pPr>
              <w:pStyle w:val="Predefinito"/>
            </w:pPr>
            <w:r>
              <w:rPr>
                <w:rFonts w:ascii="Calibri"/>
                <w:b/>
                <w:sz w:val="22"/>
                <w:lang/>
              </w:rPr>
              <w:t>Attivit</w:t>
            </w:r>
            <w:r>
              <w:rPr>
                <w:rFonts w:ascii="Calibri"/>
                <w:b/>
                <w:sz w:val="22"/>
                <w:lang/>
              </w:rPr>
              <w:t>à</w:t>
            </w:r>
            <w:r>
              <w:rPr>
                <w:rFonts w:ascii="Calibri"/>
                <w:b/>
                <w:sz w:val="22"/>
                <w:lang/>
              </w:rPr>
              <w:t xml:space="preserve"> complementari e integrative</w:t>
            </w:r>
          </w:p>
        </w:tc>
        <w:tc>
          <w:tcPr>
            <w:tcW w:w="67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</w:tcPr>
          <w:p w:rsidR="00000000" w:rsidRDefault="00065CC9">
            <w:pPr>
              <w:pStyle w:val="Predefinito"/>
              <w:spacing w:before="113" w:after="113"/>
              <w:jc w:val="both"/>
            </w:pPr>
            <w:r>
              <w:rPr>
                <w:rFonts w:ascii="Calibri"/>
                <w:sz w:val="22"/>
                <w:lang/>
              </w:rPr>
              <w:t>////////////////////////////////////////////////////////////////////////</w:t>
            </w:r>
          </w:p>
        </w:tc>
      </w:tr>
    </w:tbl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  <w:r>
        <w:rPr>
          <w:rFonts w:ascii="Calibri"/>
          <w:sz w:val="22"/>
          <w:lang/>
        </w:rPr>
        <w:t>Il docente</w:t>
      </w:r>
    </w:p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</w:p>
    <w:p w:rsidR="00000000" w:rsidRDefault="00065CC9">
      <w:pPr>
        <w:pStyle w:val="Predefinito"/>
        <w:jc w:val="both"/>
      </w:pPr>
      <w:r>
        <w:rPr>
          <w:rFonts w:ascii="Calibri"/>
          <w:sz w:val="22"/>
          <w:lang/>
        </w:rPr>
        <w:t>Roma, 29 Novembre 2014</w:t>
      </w:r>
    </w:p>
    <w:p w:rsidR="00000000" w:rsidRDefault="00065CC9">
      <w:pPr>
        <w:pStyle w:val="Predefinito"/>
        <w:jc w:val="right"/>
      </w:pPr>
    </w:p>
    <w:p w:rsidR="00065CC9" w:rsidRDefault="00065CC9">
      <w:pPr>
        <w:pStyle w:val="Predefinito"/>
      </w:pPr>
    </w:p>
    <w:sectPr w:rsidR="00065CC9">
      <w:type w:val="continuous"/>
      <w:pgSz w:w="12240" w:h="15840"/>
      <w:pgMar w:top="1417" w:right="1134" w:bottom="1134" w:left="1134" w:header="720" w:footer="720" w:gutter="0"/>
      <w:cols w:space="720"/>
      <w:formProt w:val="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numFmt w:val="bullet"/>
      <w:lvlText w:val=""/>
      <w:lvlJc w:val="left"/>
      <w:rPr>
        <w:rFonts w:ascii="Symbol" w:eastAsia="Times New Roman" w:hAnsi="Symbol" w:cs="Symbol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708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4C1E0A"/>
    <w:rsid w:val="00065CC9"/>
    <w:rsid w:val="004C1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caption" w:semiHidden="0" w:unhideWhenUsed="0" w:qFormat="1"/>
    <w:lsdException w:name="List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99"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redefinito">
    <w:name w:val="Predefinito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WW8Num1z0">
    <w:name w:val="WW8Num1z0"/>
    <w:uiPriority w:val="99"/>
  </w:style>
  <w:style w:type="character" w:customStyle="1" w:styleId="WW8NumSt1z0">
    <w:name w:val="WW8NumSt1z0"/>
    <w:uiPriority w:val="99"/>
    <w:rPr>
      <w:rFonts w:ascii="Symbol" w:eastAsia="Times New Roman" w:cs="Symbol"/>
      <w:sz w:val="22"/>
      <w:szCs w:val="22"/>
      <w:lang w:val="en-GB"/>
    </w:rPr>
  </w:style>
  <w:style w:type="character" w:customStyle="1" w:styleId="RTFNum31">
    <w:name w:val="RTF_Num 3 1"/>
    <w:uiPriority w:val="99"/>
    <w:rPr>
      <w:rFonts w:ascii="Wingdings" w:eastAsia="Times New Roman" w:hAnsi="Wingdings" w:cs="Wingdings"/>
    </w:rPr>
  </w:style>
  <w:style w:type="character" w:customStyle="1" w:styleId="RTFNum32">
    <w:name w:val="RTF_Num 3 2"/>
    <w:uiPriority w:val="99"/>
  </w:style>
  <w:style w:type="character" w:customStyle="1" w:styleId="RTFNum33">
    <w:name w:val="RTF_Num 3 3"/>
    <w:uiPriority w:val="99"/>
  </w:style>
  <w:style w:type="character" w:customStyle="1" w:styleId="RTFNum34">
    <w:name w:val="RTF_Num 3 4"/>
    <w:uiPriority w:val="99"/>
  </w:style>
  <w:style w:type="character" w:customStyle="1" w:styleId="RTFNum35">
    <w:name w:val="RTF_Num 3 5"/>
    <w:uiPriority w:val="99"/>
  </w:style>
  <w:style w:type="character" w:customStyle="1" w:styleId="RTFNum36">
    <w:name w:val="RTF_Num 3 6"/>
    <w:uiPriority w:val="99"/>
  </w:style>
  <w:style w:type="character" w:customStyle="1" w:styleId="RTFNum37">
    <w:name w:val="RTF_Num 3 7"/>
    <w:uiPriority w:val="99"/>
  </w:style>
  <w:style w:type="character" w:customStyle="1" w:styleId="RTFNum38">
    <w:name w:val="RTF_Num 3 8"/>
    <w:uiPriority w:val="99"/>
  </w:style>
  <w:style w:type="character" w:customStyle="1" w:styleId="RTFNum39">
    <w:name w:val="RTF_Num 3 9"/>
    <w:uiPriority w:val="99"/>
  </w:style>
  <w:style w:type="paragraph" w:styleId="Intestazione">
    <w:name w:val="header"/>
    <w:basedOn w:val="Predefinito"/>
    <w:next w:val="Corpotesto"/>
    <w:link w:val="IntestazioneCarattere"/>
    <w:uiPriority w:val="99"/>
    <w:pPr>
      <w:keepNext/>
      <w:spacing w:before="240" w:after="120"/>
    </w:pPr>
    <w:rPr>
      <w:rFonts w:ascii="Arial" w:hAnsi="Microsoft YaHei" w:cs="Arial"/>
      <w:sz w:val="28"/>
      <w:szCs w:val="28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</w:style>
  <w:style w:type="paragraph" w:customStyle="1" w:styleId="Corpotesto">
    <w:name w:val="Corpo testo"/>
    <w:basedOn w:val="Predefinito"/>
    <w:uiPriority w:val="99"/>
    <w:pPr>
      <w:spacing w:after="120"/>
    </w:pPr>
    <w:rPr>
      <w:lang w:eastAsia="it-IT"/>
    </w:rPr>
  </w:style>
  <w:style w:type="paragraph" w:styleId="Elenco">
    <w:name w:val="List"/>
    <w:basedOn w:val="Corpotesto"/>
    <w:uiPriority w:val="99"/>
  </w:style>
  <w:style w:type="paragraph" w:styleId="Didascalia">
    <w:name w:val="caption"/>
    <w:basedOn w:val="Predefinito"/>
    <w:uiPriority w:val="99"/>
    <w:qFormat/>
    <w:pPr>
      <w:suppressLineNumbers/>
      <w:spacing w:before="120" w:after="120"/>
    </w:pPr>
    <w:rPr>
      <w:i/>
      <w:iCs/>
      <w:lang w:eastAsia="it-IT"/>
    </w:rPr>
  </w:style>
  <w:style w:type="paragraph" w:customStyle="1" w:styleId="Indice">
    <w:name w:val="Indice"/>
    <w:basedOn w:val="Predefinito"/>
    <w:uiPriority w:val="99"/>
    <w:pPr>
      <w:suppressLineNumbers/>
    </w:pPr>
    <w:rPr>
      <w:lang w:eastAsia="it-IT"/>
    </w:rPr>
  </w:style>
  <w:style w:type="paragraph" w:customStyle="1" w:styleId="Contenutotabella">
    <w:name w:val="Contenuto tabella"/>
    <w:basedOn w:val="Predefinito"/>
    <w:uiPriority w:val="99"/>
    <w:pPr>
      <w:suppressLineNumbers/>
    </w:pPr>
    <w:rPr>
      <w:lang w:eastAsia="it-IT"/>
    </w:rPr>
  </w:style>
  <w:style w:type="paragraph" w:customStyle="1" w:styleId="Intestazionetabella">
    <w:name w:val="Intestazione tabella"/>
    <w:basedOn w:val="Contenutotabella"/>
    <w:uiPriority w:val="99"/>
    <w:pPr>
      <w:jc w:val="center"/>
    </w:pPr>
    <w:rPr>
      <w:b/>
      <w:bCs/>
    </w:rPr>
  </w:style>
  <w:style w:type="paragraph" w:styleId="Testonormale">
    <w:name w:val="Plain Text"/>
    <w:basedOn w:val="Predefinito"/>
    <w:link w:val="TestonormaleCarattere"/>
    <w:uiPriority w:val="99"/>
    <w:rPr>
      <w:rFonts w:ascii="Courier New" w:cs="Courier New"/>
      <w:lang w:eastAsia="it-IT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5885</Characters>
  <Application>Microsoft Office Word</Application>
  <DocSecurity>0</DocSecurity>
  <Lines>49</Lines>
  <Paragraphs>13</Paragraphs>
  <ScaleCrop>false</ScaleCrop>
  <Company>HP</Company>
  <LinksUpToDate>false</LinksUpToDate>
  <CharactersWithSpaces>6904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LICEO CLASSICO E LINGUISTICO STATALE  鄭RISTOFANE</dc:title>
  <dc:creator>Dirigente</dc:creator>
  <cp:lastModifiedBy>rita</cp:lastModifiedBy>
  <cp:revision>2</cp:revision>
  <dcterms:created xsi:type="dcterms:W3CDTF">2014-12-27T14:37:00Z</dcterms:created>
  <dcterms:modified xsi:type="dcterms:W3CDTF">2014-12-27T14:37:00Z</dcterms:modified>
</cp:coreProperties>
</file>