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0DB" w:rsidRDefault="002720DB" w:rsidP="005458EF">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2720DB" w:rsidRDefault="002720DB" w:rsidP="005458EF">
      <w:pPr>
        <w:autoSpaceDE w:val="0"/>
        <w:autoSpaceDN w:val="0"/>
        <w:adjustRightInd w:val="0"/>
        <w:jc w:val="center"/>
        <w:rPr>
          <w:rFonts w:ascii="Calibri" w:hAnsi="Calibri" w:cs="Calibri"/>
          <w:b/>
          <w:bCs/>
          <w:color w:val="4F81BD"/>
          <w:sz w:val="36"/>
          <w:szCs w:val="36"/>
        </w:rPr>
      </w:pPr>
      <w:r>
        <w:rPr>
          <w:rFonts w:ascii="Calibri" w:hAnsi="Calibri" w:cs="Calibri"/>
          <w:b/>
          <w:bCs/>
          <w:i/>
          <w:iCs/>
          <w:color w:val="4F81BD"/>
          <w:sz w:val="36"/>
          <w:szCs w:val="36"/>
        </w:rPr>
        <w:t>ANNO SCOLASTICO 20  -20</w:t>
      </w:r>
    </w:p>
    <w:p w:rsidR="002720DB" w:rsidRDefault="002720DB" w:rsidP="005458EF">
      <w:pPr>
        <w:autoSpaceDE w:val="0"/>
        <w:autoSpaceDN w:val="0"/>
        <w:adjustRightInd w:val="0"/>
        <w:spacing w:after="300"/>
        <w:jc w:val="both"/>
        <w:rPr>
          <w:rFonts w:ascii="Cambria" w:hAnsi="Cambria" w:cs="Cambria"/>
          <w:color w:val="17365D"/>
          <w:spacing w:val="5"/>
          <w:sz w:val="44"/>
          <w:szCs w:val="44"/>
        </w:rPr>
      </w:pPr>
      <w:r>
        <w:rPr>
          <w:rFonts w:ascii="Cambria" w:hAnsi="Cambria" w:cs="Cambria"/>
          <w:color w:val="17365D"/>
          <w:spacing w:val="5"/>
          <w:sz w:val="44"/>
          <w:szCs w:val="44"/>
        </w:rPr>
        <w:t xml:space="preserve">PROGRAMMAZIONE DIDATTICA DI </w:t>
      </w:r>
      <w:r>
        <w:rPr>
          <w:rFonts w:ascii="Cambria" w:hAnsi="Cambria" w:cs="Cambria"/>
          <w:color w:val="A6A6A6"/>
          <w:spacing w:val="5"/>
          <w:sz w:val="44"/>
          <w:szCs w:val="44"/>
        </w:rPr>
        <w:t>[STORIA]</w:t>
      </w:r>
    </w:p>
    <w:tbl>
      <w:tblPr>
        <w:tblW w:w="0" w:type="auto"/>
        <w:tblInd w:w="108" w:type="dxa"/>
        <w:tblLayout w:type="fixed"/>
        <w:tblLook w:val="0000"/>
      </w:tblPr>
      <w:tblGrid>
        <w:gridCol w:w="4889"/>
        <w:gridCol w:w="4889"/>
      </w:tblGrid>
      <w:tr w:rsidR="002720DB">
        <w:trPr>
          <w:trHeight w:val="1"/>
        </w:trPr>
        <w:tc>
          <w:tcPr>
            <w:tcW w:w="4889" w:type="dxa"/>
            <w:tcBorders>
              <w:top w:val="nil"/>
              <w:left w:val="nil"/>
              <w:bottom w:val="nil"/>
              <w:right w:val="nil"/>
            </w:tcBorders>
            <w:shd w:val="clear" w:color="000000" w:fill="FFFFFF"/>
          </w:tcPr>
          <w:p w:rsidR="002720DB" w:rsidRDefault="002720DB">
            <w:pPr>
              <w:autoSpaceDE w:val="0"/>
              <w:autoSpaceDN w:val="0"/>
              <w:adjustRightInd w:val="0"/>
              <w:rPr>
                <w:rFonts w:ascii="Calibri" w:hAnsi="Calibri" w:cs="Calibri"/>
                <w:sz w:val="22"/>
                <w:szCs w:val="22"/>
              </w:rPr>
            </w:pPr>
            <w:r>
              <w:rPr>
                <w:rFonts w:ascii="Calibri" w:hAnsi="Calibri" w:cs="Calibri"/>
                <w:b/>
                <w:bCs/>
                <w:color w:val="C00000"/>
                <w:sz w:val="28"/>
                <w:szCs w:val="28"/>
              </w:rPr>
              <w:t>DOCENTE</w:t>
            </w:r>
            <w:r>
              <w:rPr>
                <w:rFonts w:ascii="Calibri" w:hAnsi="Calibri" w:cs="Calibri"/>
                <w:b/>
                <w:bCs/>
                <w:sz w:val="28"/>
                <w:szCs w:val="28"/>
              </w:rPr>
              <w:t>:ROSELLI</w:t>
            </w:r>
          </w:p>
        </w:tc>
        <w:tc>
          <w:tcPr>
            <w:tcW w:w="4889" w:type="dxa"/>
            <w:tcBorders>
              <w:top w:val="nil"/>
              <w:left w:val="nil"/>
              <w:bottom w:val="nil"/>
              <w:right w:val="nil"/>
            </w:tcBorders>
            <w:shd w:val="clear" w:color="000000" w:fill="FFFFFF"/>
          </w:tcPr>
          <w:p w:rsidR="002720DB" w:rsidRDefault="002720DB">
            <w:pPr>
              <w:autoSpaceDE w:val="0"/>
              <w:autoSpaceDN w:val="0"/>
              <w:adjustRightInd w:val="0"/>
              <w:rPr>
                <w:rFonts w:ascii="Calibri" w:hAnsi="Calibri" w:cs="Calibri"/>
                <w:sz w:val="22"/>
                <w:szCs w:val="22"/>
              </w:rPr>
            </w:pPr>
            <w:r>
              <w:rPr>
                <w:rFonts w:ascii="Calibri" w:hAnsi="Calibri" w:cs="Calibri"/>
                <w:b/>
                <w:bCs/>
                <w:color w:val="C00000"/>
                <w:sz w:val="28"/>
                <w:szCs w:val="28"/>
              </w:rPr>
              <w:t>CLASSE</w:t>
            </w:r>
            <w:r>
              <w:rPr>
                <w:rFonts w:ascii="Calibri" w:hAnsi="Calibri" w:cs="Calibri"/>
                <w:b/>
                <w:bCs/>
                <w:sz w:val="28"/>
                <w:szCs w:val="28"/>
              </w:rPr>
              <w:t>:3E INDIRIZZO LINGUISTICO</w:t>
            </w:r>
          </w:p>
        </w:tc>
      </w:tr>
    </w:tbl>
    <w:p w:rsidR="002720DB" w:rsidRPr="005458EF" w:rsidRDefault="002720DB" w:rsidP="005458EF">
      <w:pPr>
        <w:autoSpaceDE w:val="0"/>
        <w:autoSpaceDN w:val="0"/>
        <w:adjustRightInd w:val="0"/>
        <w:rPr>
          <w:rFonts w:ascii="Calibri" w:hAnsi="Calibri" w:cs="Calibri"/>
          <w:b/>
          <w:bCs/>
          <w:sz w:val="28"/>
          <w:szCs w:val="28"/>
        </w:rPr>
      </w:pPr>
    </w:p>
    <w:p w:rsidR="002720DB" w:rsidRPr="005458EF" w:rsidRDefault="002720DB" w:rsidP="0074788F">
      <w:pPr>
        <w:autoSpaceDE w:val="0"/>
        <w:autoSpaceDN w:val="0"/>
        <w:adjustRightInd w:val="0"/>
        <w:jc w:val="both"/>
        <w:rPr>
          <w:rFonts w:ascii="Calibri" w:hAnsi="Calibri" w:cs="Calibri"/>
          <w:sz w:val="22"/>
          <w:szCs w:val="22"/>
        </w:rPr>
      </w:pPr>
    </w:p>
    <w:tbl>
      <w:tblPr>
        <w:tblW w:w="0" w:type="auto"/>
        <w:tblInd w:w="108" w:type="dxa"/>
        <w:tblLayout w:type="fixed"/>
        <w:tblLook w:val="0000"/>
      </w:tblPr>
      <w:tblGrid>
        <w:gridCol w:w="3085"/>
        <w:gridCol w:w="2135"/>
        <w:gridCol w:w="4558"/>
      </w:tblGrid>
      <w:tr w:rsidR="002720DB" w:rsidRPr="005458EF">
        <w:trPr>
          <w:trHeight w:val="621"/>
        </w:trPr>
        <w:tc>
          <w:tcPr>
            <w:tcW w:w="9778"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2720DB" w:rsidRPr="005458EF" w:rsidRDefault="002720DB">
            <w:pPr>
              <w:autoSpaceDE w:val="0"/>
              <w:autoSpaceDN w:val="0"/>
              <w:adjustRightInd w:val="0"/>
              <w:jc w:val="center"/>
              <w:rPr>
                <w:rFonts w:ascii="Calibri" w:hAnsi="Calibri" w:cs="Calibri"/>
                <w:sz w:val="32"/>
                <w:szCs w:val="32"/>
              </w:rPr>
            </w:pPr>
            <w:r w:rsidRPr="005458EF">
              <w:rPr>
                <w:rFonts w:ascii="Calibri" w:hAnsi="Calibri" w:cs="Calibri"/>
                <w:b/>
                <w:bCs/>
                <w:sz w:val="32"/>
                <w:szCs w:val="32"/>
              </w:rPr>
              <w:t>Programmazione disciplinare</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b/>
                <w:bCs/>
                <w:sz w:val="22"/>
                <w:szCs w:val="22"/>
              </w:rPr>
            </w:pPr>
            <w:r w:rsidRPr="005458EF">
              <w:rPr>
                <w:rFonts w:ascii="Calibri" w:hAnsi="Calibri" w:cs="Calibri"/>
                <w:b/>
                <w:bCs/>
                <w:sz w:val="22"/>
                <w:szCs w:val="22"/>
              </w:rPr>
              <w:t>Descrizione della classe</w:t>
            </w: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sz w:val="22"/>
                <w:szCs w:val="22"/>
              </w:rPr>
            </w:pPr>
            <w:r>
              <w:rPr>
                <w:rFonts w:ascii="Calibri" w:hAnsi="Calibri" w:cs="Calibri"/>
                <w:b/>
                <w:bCs/>
                <w:color w:val="808080"/>
                <w:sz w:val="22"/>
                <w:szCs w:val="22"/>
              </w:rPr>
              <w:t xml:space="preserve">La classe, in netta prevalenza femminile, risulta composta da elementi discretamente scolarizzati e sufficientemente coinvolti in modo attivo e partecipe al dialogo educativo. Non mancano per di più occasioni di chiarimenti e di approfondimenti disciplinari sollecitati da buona parte della componente studentesca, a conferma del fatto che la classe coglie l’occasione della semplice lezione frontale per cogliere e acquisire in modo critico e consapevole gli aspetti disciplinari in precedenza spiegati e analizzati. </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b/>
                <w:bCs/>
                <w:sz w:val="22"/>
                <w:szCs w:val="22"/>
              </w:rPr>
            </w:pPr>
            <w:r w:rsidRPr="005458EF">
              <w:rPr>
                <w:rFonts w:ascii="Calibri" w:hAnsi="Calibri" w:cs="Calibri"/>
                <w:b/>
                <w:bCs/>
                <w:sz w:val="22"/>
                <w:szCs w:val="22"/>
              </w:rPr>
              <w:t>Situazione iniziale</w:t>
            </w: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sz w:val="22"/>
                <w:szCs w:val="22"/>
              </w:rPr>
            </w:pPr>
            <w:r>
              <w:rPr>
                <w:rFonts w:ascii="Calibri" w:hAnsi="Calibri" w:cs="Calibri"/>
                <w:sz w:val="22"/>
                <w:szCs w:val="22"/>
              </w:rPr>
              <w:t>S</w:t>
            </w:r>
            <w:r w:rsidRPr="005458EF">
              <w:rPr>
                <w:rFonts w:ascii="Calibri" w:hAnsi="Calibri" w:cs="Calibri"/>
                <w:b/>
                <w:bCs/>
                <w:color w:val="808080"/>
                <w:sz w:val="22"/>
                <w:szCs w:val="22"/>
              </w:rPr>
              <w:t>ulla scorta degli elementi acquisiti all’inizio dell’anno scolastico</w:t>
            </w:r>
            <w:r>
              <w:rPr>
                <w:rFonts w:ascii="Calibri" w:hAnsi="Calibri" w:cs="Calibri"/>
                <w:b/>
                <w:bCs/>
                <w:color w:val="808080"/>
                <w:sz w:val="22"/>
                <w:szCs w:val="22"/>
              </w:rPr>
              <w:t xml:space="preserve"> e tenuto conto delle modalità in cui è stata effettuata una breve sintesi dei programmi disciplinari dell’anno precedente, si è avuto modo di riscontrare una situazione deficitaria nell’acquisizione sia dei contenuti che delle capacità che della padronanza terminologica necessaria allo studio del programma di storia del terzo anno liceale. Ciò non toglie che, tenuta in considerazione l’attiva partecipazione della classe al dialogo educativo, si possa in breve tempo recuperare le lacune sinora riscontrate.</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b/>
                <w:bCs/>
                <w:sz w:val="22"/>
                <w:szCs w:val="22"/>
              </w:rPr>
            </w:pPr>
            <w:r w:rsidRPr="005458EF">
              <w:rPr>
                <w:rFonts w:ascii="Calibri" w:hAnsi="Calibri" w:cs="Calibri"/>
                <w:b/>
                <w:bCs/>
                <w:sz w:val="22"/>
                <w:szCs w:val="22"/>
              </w:rPr>
              <w:t>Finalità generali</w:t>
            </w: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AA4074" w:rsidRDefault="002720DB" w:rsidP="00AA4074">
            <w:pPr>
              <w:autoSpaceDE w:val="0"/>
              <w:autoSpaceDN w:val="0"/>
              <w:adjustRightInd w:val="0"/>
              <w:jc w:val="both"/>
              <w:rPr>
                <w:rFonts w:ascii="Calibri" w:hAnsi="Calibri" w:cs="Calibri"/>
                <w:sz w:val="22"/>
                <w:szCs w:val="22"/>
              </w:rPr>
            </w:pPr>
            <w:r w:rsidRPr="00AA4074">
              <w:rPr>
                <w:rFonts w:ascii="Calibri" w:hAnsi="Calibri" w:cs="Calibri"/>
                <w:sz w:val="22"/>
                <w:szCs w:val="22"/>
              </w:rPr>
              <w:t>Conoscere i presupposti culturali e la natura delle istituzioni politiche, giuridiche, sociali ed</w:t>
            </w:r>
            <w:r>
              <w:rPr>
                <w:rFonts w:ascii="Calibri" w:hAnsi="Calibri" w:cs="Calibri"/>
                <w:sz w:val="22"/>
                <w:szCs w:val="22"/>
              </w:rPr>
              <w:t xml:space="preserve"> </w:t>
            </w:r>
            <w:r w:rsidRPr="00AA4074">
              <w:rPr>
                <w:rFonts w:ascii="Calibri" w:hAnsi="Calibri" w:cs="Calibri"/>
                <w:sz w:val="22"/>
                <w:szCs w:val="22"/>
              </w:rPr>
              <w:t>economiche, con riferimento particolare all’Italia e all’Europa, e comprendere i diritti e i</w:t>
            </w:r>
            <w:r>
              <w:rPr>
                <w:rFonts w:ascii="Calibri" w:hAnsi="Calibri" w:cs="Calibri"/>
                <w:sz w:val="22"/>
                <w:szCs w:val="22"/>
              </w:rPr>
              <w:t xml:space="preserve"> </w:t>
            </w:r>
            <w:r w:rsidRPr="00AA4074">
              <w:rPr>
                <w:rFonts w:ascii="Calibri" w:hAnsi="Calibri" w:cs="Calibri"/>
                <w:sz w:val="22"/>
                <w:szCs w:val="22"/>
              </w:rPr>
              <w:t>doveri che caratterizzano l’essere cittadini;</w:t>
            </w:r>
          </w:p>
          <w:p w:rsidR="002720DB" w:rsidRPr="00AA4074" w:rsidRDefault="002720DB" w:rsidP="00AA4074">
            <w:pPr>
              <w:autoSpaceDE w:val="0"/>
              <w:autoSpaceDN w:val="0"/>
              <w:adjustRightInd w:val="0"/>
              <w:jc w:val="both"/>
              <w:rPr>
                <w:rFonts w:ascii="Calibri" w:hAnsi="Calibri" w:cs="Calibri"/>
                <w:sz w:val="22"/>
                <w:szCs w:val="22"/>
              </w:rPr>
            </w:pPr>
            <w:r w:rsidRPr="00AA4074">
              <w:rPr>
                <w:rFonts w:ascii="Calibri" w:hAnsi="Calibri" w:cs="Calibri"/>
                <w:sz w:val="22"/>
                <w:szCs w:val="22"/>
              </w:rPr>
              <w:t>• Conoscere, con riferimento agli avvenimenti, ai contesti geografici e ai personaggi più</w:t>
            </w:r>
            <w:r>
              <w:rPr>
                <w:rFonts w:ascii="Calibri" w:hAnsi="Calibri" w:cs="Calibri"/>
                <w:sz w:val="22"/>
                <w:szCs w:val="22"/>
              </w:rPr>
              <w:t xml:space="preserve"> </w:t>
            </w:r>
            <w:r w:rsidRPr="00AA4074">
              <w:rPr>
                <w:rFonts w:ascii="Calibri" w:hAnsi="Calibri" w:cs="Calibri"/>
                <w:sz w:val="22"/>
                <w:szCs w:val="22"/>
              </w:rPr>
              <w:t>importanti, la storia d’Italia inserita nel contesto europeo e internazionale, dal Medioevo</w:t>
            </w:r>
            <w:r>
              <w:rPr>
                <w:rFonts w:ascii="Calibri" w:hAnsi="Calibri" w:cs="Calibri"/>
                <w:sz w:val="22"/>
                <w:szCs w:val="22"/>
              </w:rPr>
              <w:t xml:space="preserve"> </w:t>
            </w:r>
            <w:r w:rsidRPr="00AA4074">
              <w:rPr>
                <w:rFonts w:ascii="Calibri" w:hAnsi="Calibri" w:cs="Calibri"/>
                <w:sz w:val="22"/>
                <w:szCs w:val="22"/>
              </w:rPr>
              <w:t>sino ai giorni nostri;</w:t>
            </w:r>
          </w:p>
          <w:p w:rsidR="002720DB" w:rsidRPr="00AA4074" w:rsidRDefault="002720DB" w:rsidP="00AA4074">
            <w:pPr>
              <w:autoSpaceDE w:val="0"/>
              <w:autoSpaceDN w:val="0"/>
              <w:adjustRightInd w:val="0"/>
              <w:jc w:val="both"/>
              <w:rPr>
                <w:rFonts w:ascii="Calibri" w:hAnsi="Calibri" w:cs="Calibri"/>
                <w:sz w:val="22"/>
                <w:szCs w:val="22"/>
              </w:rPr>
            </w:pPr>
            <w:r w:rsidRPr="00AA4074">
              <w:rPr>
                <w:rFonts w:ascii="Calibri" w:hAnsi="Calibri" w:cs="Calibri"/>
                <w:sz w:val="22"/>
                <w:szCs w:val="22"/>
              </w:rPr>
              <w:t>• Utilizzare metodi e strumenti: carte geografiche, sistemi informativi geografici, immagini,</w:t>
            </w:r>
            <w:r>
              <w:rPr>
                <w:rFonts w:ascii="Calibri" w:hAnsi="Calibri" w:cs="Calibri"/>
                <w:sz w:val="22"/>
                <w:szCs w:val="22"/>
              </w:rPr>
              <w:t xml:space="preserve"> </w:t>
            </w:r>
            <w:r w:rsidRPr="00AA4074">
              <w:rPr>
                <w:rFonts w:ascii="Calibri" w:hAnsi="Calibri" w:cs="Calibri"/>
                <w:sz w:val="22"/>
                <w:szCs w:val="22"/>
              </w:rPr>
              <w:t>dati statistici, documenti storiografici per la lettura dei processi storici e per l’analisi della</w:t>
            </w:r>
            <w:r>
              <w:rPr>
                <w:rFonts w:ascii="Calibri" w:hAnsi="Calibri" w:cs="Calibri"/>
                <w:sz w:val="22"/>
                <w:szCs w:val="22"/>
              </w:rPr>
              <w:t xml:space="preserve"> </w:t>
            </w:r>
            <w:r w:rsidRPr="00AA4074">
              <w:rPr>
                <w:rFonts w:ascii="Calibri" w:hAnsi="Calibri" w:cs="Calibri"/>
                <w:sz w:val="22"/>
                <w:szCs w:val="22"/>
              </w:rPr>
              <w:t>società contemporanea</w:t>
            </w:r>
            <w:r>
              <w:rPr>
                <w:rFonts w:ascii="Calibri" w:hAnsi="Calibri" w:cs="Calibri"/>
                <w:sz w:val="22"/>
                <w:szCs w:val="22"/>
              </w:rPr>
              <w:t>.</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b/>
                <w:bCs/>
                <w:sz w:val="22"/>
                <w:szCs w:val="22"/>
              </w:rPr>
            </w:pPr>
            <w:r w:rsidRPr="005458EF">
              <w:rPr>
                <w:rFonts w:ascii="Calibri" w:hAnsi="Calibri" w:cs="Calibri"/>
                <w:b/>
                <w:bCs/>
                <w:sz w:val="22"/>
                <w:szCs w:val="22"/>
              </w:rPr>
              <w:t>Concetti fondamentali della disciplina</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Macroargomenti</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sz w:val="22"/>
                <w:szCs w:val="22"/>
              </w:rPr>
            </w:pPr>
            <w:r>
              <w:rPr>
                <w:rFonts w:ascii="Calibri" w:hAnsi="Calibri" w:cs="Calibri"/>
                <w:sz w:val="22"/>
                <w:szCs w:val="22"/>
              </w:rPr>
              <w:t>Lo Scontro tra Papato e Impero dall’Alto Medioevo al Concordato di Worms. L’età comunale. Le Crociate. La Crisi dell’universalità imperiale. Federico Barbarossa e Federico II. La Crisi del ‘300. L’Umanesimo e il Rinascimento. La scoperta del Nuovo Mondo. L’età della Riforma e della Controriforma. L’età di Filippo II e della Controriforma. Le guerre religiose. La Guerra dei Trent’anni</w:t>
            </w:r>
          </w:p>
        </w:tc>
      </w:tr>
      <w:tr w:rsidR="002720DB" w:rsidRPr="005458EF">
        <w:trPr>
          <w:trHeight w:val="330"/>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 xml:space="preserve">Obiettivi didattici </w:t>
            </w:r>
            <w:r w:rsidRPr="005458EF">
              <w:rPr>
                <w:rFonts w:ascii="Calibri" w:hAnsi="Calibri" w:cs="Calibri"/>
                <w:sz w:val="22"/>
                <w:szCs w:val="22"/>
              </w:rPr>
              <w:t>(da compilare solo in caso di scostamento dalla programmazione di dipartimento)</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color w:val="808080"/>
                <w:sz w:val="22"/>
                <w:szCs w:val="22"/>
              </w:rPr>
              <w:t>Elencare in modo sintetico rimanendo  negli spazi assegnati</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b/>
                <w:bCs/>
                <w:sz w:val="22"/>
                <w:szCs w:val="22"/>
              </w:rPr>
            </w:pPr>
            <w:r w:rsidRPr="005458EF">
              <w:rPr>
                <w:rFonts w:ascii="Calibri" w:hAnsi="Calibri" w:cs="Calibri"/>
                <w:b/>
                <w:bCs/>
                <w:sz w:val="22"/>
                <w:szCs w:val="22"/>
              </w:rPr>
              <w:t xml:space="preserve">Conoscenze </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Le conoscenze indicano il risultato dell’assimilazione di informazioni attraverso l’apprendimento. Le conoscenze sono l’insieme di fatti, principi, teorie e pratiche, relative a un settore di studio o di lavoro; le conoscenze sono descritte come teoriche e/o pratiche.</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Sapere</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Si rimanda alla programmazione di dipartimento</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Abilità</w:t>
            </w:r>
            <w:r w:rsidRPr="005458EF">
              <w:rPr>
                <w:rFonts w:ascii="Calibri" w:hAnsi="Calibri" w:cs="Calibri"/>
                <w:sz w:val="22"/>
                <w:szCs w:val="22"/>
              </w:rPr>
              <w:t xml:space="preserve"> </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Saper fare</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sz w:val="22"/>
                <w:szCs w:val="22"/>
              </w:rPr>
            </w:pPr>
            <w:r w:rsidRPr="005458EF">
              <w:rPr>
                <w:rFonts w:ascii="Calibri" w:hAnsi="Calibri" w:cs="Calibri"/>
                <w:sz w:val="22"/>
                <w:szCs w:val="22"/>
              </w:rPr>
              <w:t>Si rimanda alla programmazione di dipartimento</w:t>
            </w: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b/>
                <w:bCs/>
                <w:sz w:val="22"/>
                <w:szCs w:val="22"/>
              </w:rPr>
            </w:pPr>
            <w:r w:rsidRPr="005458EF">
              <w:rPr>
                <w:rFonts w:ascii="Calibri" w:hAnsi="Calibri" w:cs="Calibri"/>
                <w:b/>
                <w:bCs/>
                <w:sz w:val="22"/>
                <w:szCs w:val="22"/>
              </w:rPr>
              <w:t>Competenze</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r w:rsidRPr="005458EF">
              <w:rPr>
                <w:rFonts w:ascii="Calibri" w:hAnsi="Calibri" w:cs="Calibri"/>
                <w:sz w:val="22"/>
                <w:szCs w:val="22"/>
              </w:rPr>
              <w:t>Si rimanda alla programmazione di dipartimento</w:t>
            </w: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22"/>
                <w:szCs w:val="22"/>
              </w:rPr>
            </w:pPr>
          </w:p>
        </w:tc>
      </w:tr>
      <w:tr w:rsidR="002720DB" w:rsidRPr="005458EF">
        <w:trPr>
          <w:trHeight w:val="1"/>
        </w:trPr>
        <w:tc>
          <w:tcPr>
            <w:tcW w:w="3085"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Contenuti disciplinari</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center"/>
              <w:rPr>
                <w:rFonts w:ascii="Calibri" w:hAnsi="Calibri" w:cs="Calibri"/>
                <w:sz w:val="22"/>
                <w:szCs w:val="22"/>
              </w:rPr>
            </w:pPr>
            <w:r w:rsidRPr="005458EF">
              <w:rPr>
                <w:rFonts w:ascii="Calibri" w:hAnsi="Calibri" w:cs="Calibri"/>
                <w:b/>
                <w:bCs/>
                <w:sz w:val="22"/>
                <w:szCs w:val="22"/>
              </w:rPr>
              <w:t>Articolazione per trimestre</w:t>
            </w:r>
            <w:r w:rsidRPr="005458EF">
              <w:rPr>
                <w:rFonts w:ascii="Calibri" w:hAnsi="Calibri" w:cs="Calibri"/>
                <w:b/>
                <w:bCs/>
                <w:sz w:val="22"/>
                <w:szCs w:val="22"/>
              </w:rPr>
              <w:br/>
            </w:r>
          </w:p>
        </w:tc>
      </w:tr>
      <w:tr w:rsidR="002720DB" w:rsidRPr="005458EF" w:rsidTr="005458EF">
        <w:trPr>
          <w:trHeight w:val="421"/>
        </w:trPr>
        <w:tc>
          <w:tcPr>
            <w:tcW w:w="3085" w:type="dxa"/>
            <w:vMerge/>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spacing w:after="200" w:line="276" w:lineRule="auto"/>
              <w:rPr>
                <w:rFonts w:ascii="Calibri" w:hAnsi="Calibri" w:cs="Calibri"/>
                <w:sz w:val="22"/>
                <w:szCs w:val="22"/>
              </w:rPr>
            </w:pPr>
          </w:p>
        </w:tc>
        <w:tc>
          <w:tcPr>
            <w:tcW w:w="213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Settembre/Dicembre</w:t>
            </w:r>
          </w:p>
        </w:tc>
        <w:tc>
          <w:tcPr>
            <w:tcW w:w="4558"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p>
          <w:p w:rsidR="002720DB" w:rsidRDefault="002720DB">
            <w:pPr>
              <w:autoSpaceDE w:val="0"/>
              <w:autoSpaceDN w:val="0"/>
              <w:adjustRightInd w:val="0"/>
              <w:rPr>
                <w:rFonts w:ascii="Calibri" w:hAnsi="Calibri" w:cs="Calibri"/>
                <w:sz w:val="22"/>
                <w:szCs w:val="22"/>
              </w:rPr>
            </w:pPr>
            <w:r>
              <w:rPr>
                <w:rFonts w:ascii="Calibri" w:hAnsi="Calibri" w:cs="Calibri"/>
                <w:sz w:val="22"/>
                <w:szCs w:val="22"/>
              </w:rPr>
              <w:t xml:space="preserve">La Crisi dell’Anno Mille. Lo Scontro tra Papato e Impero. La lotta per le investiture: Gregorio VII ed Enrico IV. Lo Scisma d’Oriente. Il Concordato di Worms. La nascita dei Comuni. L’anarchia feudale. Federico Barbarossa. Federico II. Angioini e aragonesi in Italia. La Crisi del ‘300. La Peste Nera. </w:t>
            </w:r>
          </w:p>
          <w:p w:rsidR="002720DB" w:rsidRPr="005458EF" w:rsidRDefault="002720DB">
            <w:pPr>
              <w:autoSpaceDE w:val="0"/>
              <w:autoSpaceDN w:val="0"/>
              <w:adjustRightInd w:val="0"/>
              <w:rPr>
                <w:rFonts w:ascii="Calibri" w:hAnsi="Calibri" w:cs="Calibri"/>
                <w:sz w:val="22"/>
                <w:szCs w:val="22"/>
              </w:rPr>
            </w:pPr>
          </w:p>
        </w:tc>
      </w:tr>
      <w:tr w:rsidR="002720DB" w:rsidRPr="005458EF" w:rsidTr="005458EF">
        <w:trPr>
          <w:trHeight w:val="414"/>
        </w:trPr>
        <w:tc>
          <w:tcPr>
            <w:tcW w:w="3085" w:type="dxa"/>
            <w:vMerge/>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spacing w:after="200" w:line="276" w:lineRule="auto"/>
              <w:rPr>
                <w:rFonts w:ascii="Calibri" w:hAnsi="Calibri" w:cs="Calibri"/>
                <w:sz w:val="22"/>
                <w:szCs w:val="22"/>
              </w:rPr>
            </w:pPr>
          </w:p>
        </w:tc>
        <w:tc>
          <w:tcPr>
            <w:tcW w:w="213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Gennaio/Marzo</w:t>
            </w:r>
          </w:p>
        </w:tc>
        <w:tc>
          <w:tcPr>
            <w:tcW w:w="4558"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Pr>
                <w:rFonts w:ascii="Calibri" w:hAnsi="Calibri" w:cs="Calibri"/>
                <w:sz w:val="22"/>
                <w:szCs w:val="22"/>
              </w:rPr>
              <w:t>La Guerra dei Cent’anni. La nascita delle monarchie nazionali e la crisi delle istituzioni universali. Umanesimo e Rinascimento. La Scoperta del Nuovo Mondo. La Riforma Luterana. L’Impero di Carlo V</w:t>
            </w:r>
          </w:p>
          <w:p w:rsidR="002720DB" w:rsidRDefault="002720DB">
            <w:pPr>
              <w:autoSpaceDE w:val="0"/>
              <w:autoSpaceDN w:val="0"/>
              <w:adjustRightInd w:val="0"/>
              <w:rPr>
                <w:rFonts w:ascii="Calibri" w:hAnsi="Calibri" w:cs="Calibri"/>
                <w:sz w:val="22"/>
                <w:szCs w:val="22"/>
              </w:rPr>
            </w:pPr>
          </w:p>
          <w:p w:rsidR="002720DB" w:rsidRPr="005458EF" w:rsidRDefault="002720DB">
            <w:pPr>
              <w:autoSpaceDE w:val="0"/>
              <w:autoSpaceDN w:val="0"/>
              <w:adjustRightInd w:val="0"/>
              <w:rPr>
                <w:rFonts w:ascii="Calibri" w:hAnsi="Calibri" w:cs="Calibri"/>
                <w:sz w:val="22"/>
                <w:szCs w:val="22"/>
              </w:rPr>
            </w:pPr>
          </w:p>
        </w:tc>
      </w:tr>
      <w:tr w:rsidR="002720DB" w:rsidRPr="005458EF" w:rsidTr="005458EF">
        <w:trPr>
          <w:trHeight w:val="420"/>
        </w:trPr>
        <w:tc>
          <w:tcPr>
            <w:tcW w:w="3085" w:type="dxa"/>
            <w:vMerge/>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spacing w:after="200" w:line="276" w:lineRule="auto"/>
              <w:rPr>
                <w:rFonts w:ascii="Calibri" w:hAnsi="Calibri" w:cs="Calibri"/>
                <w:sz w:val="22"/>
                <w:szCs w:val="22"/>
              </w:rPr>
            </w:pPr>
          </w:p>
        </w:tc>
        <w:tc>
          <w:tcPr>
            <w:tcW w:w="213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Marzo /Giugno</w:t>
            </w:r>
          </w:p>
        </w:tc>
        <w:tc>
          <w:tcPr>
            <w:tcW w:w="4558"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Pr>
                <w:rFonts w:ascii="Calibri" w:hAnsi="Calibri" w:cs="Calibri"/>
                <w:sz w:val="22"/>
                <w:szCs w:val="22"/>
              </w:rPr>
              <w:t>Le guerre religiose. La Pacificazione di Augusta e l’editto di Nantes. L’età della Controriforma. Filippo II ed Elisabetta I. La guerra dei tren’anni. L’inghilterra dalla decapitazione di Carlo I alla Gloriosa Rivoluzione. L’Italia del ‘600</w:t>
            </w:r>
          </w:p>
          <w:p w:rsidR="002720DB" w:rsidRDefault="002720DB">
            <w:pPr>
              <w:autoSpaceDE w:val="0"/>
              <w:autoSpaceDN w:val="0"/>
              <w:adjustRightInd w:val="0"/>
              <w:rPr>
                <w:rFonts w:ascii="Calibri" w:hAnsi="Calibri" w:cs="Calibri"/>
                <w:sz w:val="22"/>
                <w:szCs w:val="22"/>
              </w:rPr>
            </w:pPr>
          </w:p>
          <w:p w:rsidR="002720DB" w:rsidRPr="005458EF" w:rsidRDefault="002720DB">
            <w:pPr>
              <w:autoSpaceDE w:val="0"/>
              <w:autoSpaceDN w:val="0"/>
              <w:adjustRightInd w:val="0"/>
              <w:rPr>
                <w:rFonts w:ascii="Calibri" w:hAnsi="Calibri" w:cs="Calibri"/>
                <w:sz w:val="22"/>
                <w:szCs w:val="22"/>
              </w:rPr>
            </w:pP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Metodologia</w:t>
            </w:r>
          </w:p>
          <w:p w:rsidR="002720DB" w:rsidRPr="005458EF" w:rsidRDefault="002720DB">
            <w:pPr>
              <w:autoSpaceDE w:val="0"/>
              <w:autoSpaceDN w:val="0"/>
              <w:adjustRightInd w:val="0"/>
              <w:rPr>
                <w:rFonts w:ascii="Calibri" w:hAnsi="Calibri" w:cs="Calibri"/>
                <w:sz w:val="22"/>
                <w:szCs w:val="22"/>
              </w:rPr>
            </w:pP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L’insegnamento si avvarrà di:</w:t>
            </w:r>
          </w:p>
          <w:p w:rsidR="002720DB" w:rsidRDefault="002720DB">
            <w:pPr>
              <w:autoSpaceDE w:val="0"/>
              <w:autoSpaceDN w:val="0"/>
              <w:adjustRightInd w:val="0"/>
              <w:jc w:val="both"/>
              <w:rPr>
                <w:rFonts w:ascii="Calibri" w:hAnsi="Calibri" w:cs="Calibri"/>
                <w:color w:val="808080"/>
                <w:sz w:val="22"/>
                <w:szCs w:val="22"/>
              </w:rPr>
            </w:pPr>
            <w:r w:rsidRPr="005458EF">
              <w:rPr>
                <w:rFonts w:ascii="Calibri" w:hAnsi="Calibri" w:cs="Calibri"/>
                <w:color w:val="808080"/>
                <w:sz w:val="22"/>
                <w:szCs w:val="22"/>
              </w:rPr>
              <w:t>[cancellare le voci che non interessano]</w:t>
            </w:r>
          </w:p>
          <w:p w:rsidR="002720DB" w:rsidRPr="005458EF" w:rsidRDefault="002720DB">
            <w:pPr>
              <w:autoSpaceDE w:val="0"/>
              <w:autoSpaceDN w:val="0"/>
              <w:adjustRightInd w:val="0"/>
              <w:jc w:val="both"/>
              <w:rPr>
                <w:rFonts w:ascii="Calibri" w:hAnsi="Calibri" w:cs="Calibri"/>
                <w:color w:val="808080"/>
                <w:sz w:val="22"/>
                <w:szCs w:val="22"/>
              </w:rPr>
            </w:pP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Lezioni frontali</w:t>
            </w:r>
          </w:p>
          <w:p w:rsidR="002720DB" w:rsidRPr="005458EF" w:rsidRDefault="002720DB" w:rsidP="00226922">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Approfondimenti</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Relazioni</w:t>
            </w:r>
          </w:p>
          <w:p w:rsidR="002720DB" w:rsidRPr="005458EF" w:rsidRDefault="002720DB" w:rsidP="00226922">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rPr>
                <w:rFonts w:ascii="Calibri" w:hAnsi="Calibri" w:cs="Calibri"/>
                <w:sz w:val="22"/>
                <w:szCs w:val="22"/>
              </w:rPr>
            </w:pP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Verifiche</w:t>
            </w:r>
          </w:p>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Le verifiche sommative saranno finalizzate all’accertamento del raggiungimento degli obiettivi prefissati per le varie unità. Ci si avvarrà in particolare di:</w:t>
            </w: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Default="002720DB">
            <w:pPr>
              <w:autoSpaceDE w:val="0"/>
              <w:autoSpaceDN w:val="0"/>
              <w:adjustRightInd w:val="0"/>
              <w:jc w:val="both"/>
              <w:rPr>
                <w:rFonts w:ascii="Calibri" w:hAnsi="Calibri" w:cs="Calibri"/>
                <w:color w:val="808080"/>
                <w:sz w:val="22"/>
                <w:szCs w:val="22"/>
              </w:rPr>
            </w:pPr>
            <w:r w:rsidRPr="005458EF">
              <w:rPr>
                <w:rFonts w:ascii="Calibri" w:hAnsi="Calibri" w:cs="Calibri"/>
                <w:color w:val="808080"/>
                <w:sz w:val="22"/>
                <w:szCs w:val="22"/>
              </w:rPr>
              <w:t>[cancellare le voci che non interessano]</w:t>
            </w:r>
          </w:p>
          <w:p w:rsidR="002720DB" w:rsidRDefault="002720DB">
            <w:pPr>
              <w:autoSpaceDE w:val="0"/>
              <w:autoSpaceDN w:val="0"/>
              <w:adjustRightInd w:val="0"/>
              <w:jc w:val="both"/>
              <w:rPr>
                <w:rFonts w:ascii="Calibri" w:hAnsi="Calibri" w:cs="Calibri"/>
                <w:color w:val="808080"/>
                <w:sz w:val="22"/>
                <w:szCs w:val="22"/>
              </w:rPr>
            </w:pPr>
          </w:p>
          <w:p w:rsidR="002720DB" w:rsidRPr="005458EF" w:rsidRDefault="002720DB">
            <w:pPr>
              <w:autoSpaceDE w:val="0"/>
              <w:autoSpaceDN w:val="0"/>
              <w:adjustRightInd w:val="0"/>
              <w:jc w:val="both"/>
              <w:rPr>
                <w:rFonts w:ascii="Calibri" w:hAnsi="Calibri" w:cs="Calibri"/>
                <w:color w:val="808080"/>
                <w:sz w:val="22"/>
                <w:szCs w:val="22"/>
              </w:rPr>
            </w:pP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Elaborati scritti</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Verifiche orali</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Test</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Approfondimenti individuali</w:t>
            </w:r>
          </w:p>
          <w:p w:rsidR="002720DB" w:rsidRPr="005458EF" w:rsidRDefault="002720DB">
            <w:pPr>
              <w:autoSpaceDE w:val="0"/>
              <w:autoSpaceDN w:val="0"/>
              <w:adjustRightInd w:val="0"/>
              <w:jc w:val="both"/>
              <w:rPr>
                <w:rFonts w:ascii="Calibri" w:hAnsi="Calibri" w:cs="Calibri"/>
                <w:sz w:val="22"/>
                <w:szCs w:val="22"/>
              </w:rPr>
            </w:pPr>
          </w:p>
          <w:p w:rsidR="002720DB" w:rsidRPr="005458EF" w:rsidRDefault="002720DB">
            <w:pPr>
              <w:autoSpaceDE w:val="0"/>
              <w:autoSpaceDN w:val="0"/>
              <w:adjustRightInd w:val="0"/>
              <w:jc w:val="both"/>
              <w:rPr>
                <w:rFonts w:ascii="Calibri" w:hAnsi="Calibri" w:cs="Calibri"/>
                <w:sz w:val="18"/>
                <w:szCs w:val="18"/>
              </w:rPr>
            </w:pPr>
            <w:r w:rsidRPr="005458EF">
              <w:rPr>
                <w:rFonts w:ascii="Calibri" w:hAnsi="Calibri" w:cs="Calibri"/>
                <w:sz w:val="18"/>
                <w:szCs w:val="18"/>
              </w:rPr>
              <w:t xml:space="preserve">Nel corso dell’anno sono previsti non meno di due verifiche scritte nel trimestre e tre nel pentamestre ed un congruo numero di verifiche orali </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Valutazione</w:t>
            </w:r>
          </w:p>
          <w:p w:rsidR="002720DB" w:rsidRPr="005458EF" w:rsidRDefault="002720DB">
            <w:pPr>
              <w:autoSpaceDE w:val="0"/>
              <w:autoSpaceDN w:val="0"/>
              <w:adjustRightInd w:val="0"/>
              <w:rPr>
                <w:rFonts w:ascii="Calibri" w:hAnsi="Calibri" w:cs="Calibri"/>
                <w:sz w:val="22"/>
                <w:szCs w:val="22"/>
              </w:rPr>
            </w:pP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sz w:val="22"/>
                <w:szCs w:val="22"/>
              </w:rPr>
              <w:t>La valutazione  verrà articolata s</w:t>
            </w:r>
            <w:r>
              <w:rPr>
                <w:rFonts w:ascii="Calibri" w:hAnsi="Calibri" w:cs="Calibri"/>
                <w:sz w:val="22"/>
                <w:szCs w:val="22"/>
              </w:rPr>
              <w:t xml:space="preserve">ulla base dei seguenti elementi: </w:t>
            </w:r>
            <w:r w:rsidRPr="005458EF">
              <w:rPr>
                <w:rFonts w:ascii="Calibri" w:hAnsi="Calibri" w:cs="Calibri"/>
                <w:color w:val="808080"/>
                <w:sz w:val="22"/>
                <w:szCs w:val="22"/>
              </w:rPr>
              <w:t>[cancellare le voci che non interessano]</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Verifiche scritte ed orali</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Costanza nella frequenza</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Impegno regolare</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Partecipazione attiva</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Interesse particolare per la disciplina</w:t>
            </w:r>
          </w:p>
          <w:p w:rsidR="002720DB" w:rsidRPr="005458EF" w:rsidRDefault="002720DB" w:rsidP="00226922">
            <w:pPr>
              <w:autoSpaceDE w:val="0"/>
              <w:autoSpaceDN w:val="0"/>
              <w:adjustRightInd w:val="0"/>
              <w:ind w:left="360"/>
              <w:jc w:val="both"/>
              <w:rPr>
                <w:rFonts w:ascii="Calibri" w:hAnsi="Calibri" w:cs="Calibri"/>
                <w:sz w:val="22"/>
                <w:szCs w:val="22"/>
              </w:rPr>
            </w:pP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sz w:val="22"/>
                <w:szCs w:val="22"/>
              </w:rPr>
            </w:pPr>
            <w:r w:rsidRPr="005458EF">
              <w:rPr>
                <w:rFonts w:ascii="Calibri" w:hAnsi="Calibri" w:cs="Calibri"/>
                <w:b/>
                <w:bCs/>
                <w:sz w:val="22"/>
                <w:szCs w:val="22"/>
              </w:rPr>
              <w:t>Criteri e parametri di verifica</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jc w:val="both"/>
              <w:rPr>
                <w:rFonts w:ascii="Calibri" w:hAnsi="Calibri" w:cs="Calibri"/>
                <w:sz w:val="22"/>
                <w:szCs w:val="22"/>
              </w:rPr>
            </w:pPr>
            <w:r w:rsidRPr="005458EF">
              <w:rPr>
                <w:rFonts w:ascii="Calibri" w:hAnsi="Calibri" w:cs="Calibri"/>
                <w:sz w:val="22"/>
                <w:szCs w:val="22"/>
              </w:rPr>
              <w:t xml:space="preserve">Nella riunione di dipartimento tenutasi in data </w:t>
            </w:r>
            <w:r>
              <w:rPr>
                <w:rFonts w:ascii="Calibri" w:hAnsi="Calibri" w:cs="Calibri"/>
                <w:b/>
                <w:bCs/>
                <w:color w:val="C00000"/>
                <w:sz w:val="22"/>
                <w:szCs w:val="22"/>
              </w:rPr>
              <w:t xml:space="preserve">9.09.2014 </w:t>
            </w:r>
            <w:r w:rsidRPr="005458EF">
              <w:rPr>
                <w:rFonts w:ascii="Calibri" w:hAnsi="Calibri" w:cs="Calibri"/>
                <w:sz w:val="22"/>
                <w:szCs w:val="22"/>
              </w:rPr>
              <w:t>sono  stati concordati i criteri ed i parametri di verifica che fanno parte del POF 20</w:t>
            </w:r>
            <w:r>
              <w:rPr>
                <w:rFonts w:ascii="Calibri" w:hAnsi="Calibri" w:cs="Calibri"/>
                <w:sz w:val="22"/>
                <w:szCs w:val="22"/>
              </w:rPr>
              <w:t>14</w:t>
            </w:r>
            <w:r w:rsidRPr="005458EF">
              <w:rPr>
                <w:rFonts w:ascii="Calibri" w:hAnsi="Calibri" w:cs="Calibri"/>
                <w:sz w:val="22"/>
                <w:szCs w:val="22"/>
              </w:rPr>
              <w:t xml:space="preserve">  /20 </w:t>
            </w:r>
            <w:r>
              <w:rPr>
                <w:rFonts w:ascii="Calibri" w:hAnsi="Calibri" w:cs="Calibri"/>
                <w:sz w:val="22"/>
                <w:szCs w:val="22"/>
              </w:rPr>
              <w:t>15</w:t>
            </w:r>
            <w:r w:rsidRPr="005458EF">
              <w:rPr>
                <w:rFonts w:ascii="Calibri" w:hAnsi="Calibri" w:cs="Calibri"/>
                <w:sz w:val="22"/>
                <w:szCs w:val="22"/>
              </w:rPr>
              <w:t xml:space="preserve">  . </w:t>
            </w:r>
          </w:p>
          <w:p w:rsidR="002720DB" w:rsidRPr="005458EF" w:rsidRDefault="002720DB">
            <w:pPr>
              <w:autoSpaceDE w:val="0"/>
              <w:autoSpaceDN w:val="0"/>
              <w:adjustRightInd w:val="0"/>
              <w:jc w:val="both"/>
              <w:rPr>
                <w:rFonts w:ascii="Calibri" w:hAnsi="Calibri" w:cs="Calibri"/>
                <w:sz w:val="22"/>
                <w:szCs w:val="22"/>
              </w:rPr>
            </w:pPr>
            <w:r w:rsidRPr="005458EF">
              <w:rPr>
                <w:rFonts w:ascii="Calibri" w:hAnsi="Calibri" w:cs="Calibri"/>
                <w:sz w:val="22"/>
                <w:szCs w:val="22"/>
              </w:rPr>
              <w:t>Per quanto riguarda gli indicatori di valutazione si rimanda alle griglie specifiche elaborate nella stessa riunione, deliberate dal Collegio Docenti (seduta del 9/10/2014).</w:t>
            </w:r>
          </w:p>
        </w:tc>
      </w:tr>
      <w:tr w:rsidR="002720DB"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pPr>
              <w:autoSpaceDE w:val="0"/>
              <w:autoSpaceDN w:val="0"/>
              <w:adjustRightInd w:val="0"/>
              <w:rPr>
                <w:rFonts w:ascii="Calibri" w:hAnsi="Calibri" w:cs="Calibri"/>
                <w:b/>
                <w:bCs/>
                <w:sz w:val="22"/>
                <w:szCs w:val="22"/>
              </w:rPr>
            </w:pPr>
            <w:r w:rsidRPr="005458EF">
              <w:rPr>
                <w:rFonts w:ascii="Calibri" w:hAnsi="Calibri" w:cs="Calibri"/>
                <w:b/>
                <w:bCs/>
                <w:sz w:val="22"/>
                <w:szCs w:val="22"/>
              </w:rPr>
              <w:t>Attività di sostegno e recupero</w:t>
            </w:r>
          </w:p>
          <w:p w:rsidR="002720DB" w:rsidRPr="005458EF" w:rsidRDefault="002720DB">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720DB" w:rsidRPr="005458EF" w:rsidRDefault="002720DB" w:rsidP="005458EF">
            <w:pPr>
              <w:autoSpaceDE w:val="0"/>
              <w:autoSpaceDN w:val="0"/>
              <w:adjustRightInd w:val="0"/>
              <w:rPr>
                <w:rFonts w:ascii="Calibri" w:hAnsi="Calibri" w:cs="Calibri"/>
                <w:sz w:val="22"/>
                <w:szCs w:val="22"/>
              </w:rPr>
            </w:pPr>
            <w:r w:rsidRPr="005458EF">
              <w:rPr>
                <w:rFonts w:ascii="Calibri" w:hAnsi="Calibri" w:cs="Calibri"/>
                <w:color w:val="808080"/>
                <w:sz w:val="22"/>
                <w:szCs w:val="22"/>
              </w:rPr>
              <w:t>[cancellare le voci che non interessano]</w:t>
            </w:r>
          </w:p>
          <w:p w:rsidR="002720DB" w:rsidRPr="002C0DDD" w:rsidRDefault="002720DB" w:rsidP="002C0DDD">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Recupero curriculare</w:t>
            </w:r>
            <w:r w:rsidRPr="005458EF">
              <w:rPr>
                <w:rFonts w:ascii="Calibri" w:hAnsi="Calibri" w:cs="Calibri"/>
                <w:sz w:val="22"/>
                <w:szCs w:val="22"/>
                <w:lang w:val="en-GB"/>
              </w:rPr>
              <w:t xml:space="preserve"> </w:t>
            </w:r>
          </w:p>
          <w:p w:rsidR="002720DB" w:rsidRPr="005458EF" w:rsidRDefault="002720DB"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Sportello didattico</w:t>
            </w:r>
          </w:p>
          <w:p w:rsidR="002720DB" w:rsidRPr="005458EF" w:rsidRDefault="002720DB" w:rsidP="002C0DDD">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Corsi di recupero</w:t>
            </w:r>
          </w:p>
          <w:p w:rsidR="002720DB" w:rsidRPr="005458EF" w:rsidRDefault="002720DB">
            <w:pPr>
              <w:autoSpaceDE w:val="0"/>
              <w:autoSpaceDN w:val="0"/>
              <w:adjustRightInd w:val="0"/>
              <w:rPr>
                <w:rFonts w:ascii="Calibri" w:hAnsi="Calibri" w:cs="Calibri"/>
                <w:sz w:val="22"/>
                <w:szCs w:val="22"/>
              </w:rPr>
            </w:pPr>
          </w:p>
        </w:tc>
      </w:tr>
    </w:tbl>
    <w:p w:rsidR="002720DB" w:rsidRPr="005458EF" w:rsidRDefault="002720DB" w:rsidP="0074788F">
      <w:pPr>
        <w:autoSpaceDE w:val="0"/>
        <w:autoSpaceDN w:val="0"/>
        <w:adjustRightInd w:val="0"/>
        <w:jc w:val="both"/>
        <w:rPr>
          <w:rFonts w:ascii="Calibri" w:hAnsi="Calibri" w:cs="Calibri"/>
          <w:sz w:val="22"/>
          <w:szCs w:val="22"/>
        </w:rPr>
      </w:pPr>
    </w:p>
    <w:p w:rsidR="002720DB" w:rsidRPr="005458EF" w:rsidRDefault="002720DB" w:rsidP="0074788F">
      <w:pPr>
        <w:autoSpaceDE w:val="0"/>
        <w:autoSpaceDN w:val="0"/>
        <w:adjustRightInd w:val="0"/>
        <w:jc w:val="both"/>
        <w:rPr>
          <w:rFonts w:ascii="Calibri" w:hAnsi="Calibri" w:cs="Calibri"/>
          <w:sz w:val="22"/>
          <w:szCs w:val="22"/>
        </w:rPr>
      </w:pPr>
    </w:p>
    <w:p w:rsidR="002720DB" w:rsidRPr="005458EF" w:rsidRDefault="002720DB" w:rsidP="0074788F">
      <w:pPr>
        <w:autoSpaceDE w:val="0"/>
        <w:autoSpaceDN w:val="0"/>
        <w:adjustRightInd w:val="0"/>
        <w:jc w:val="both"/>
        <w:rPr>
          <w:rFonts w:ascii="Calibri" w:hAnsi="Calibri" w:cs="Calibri"/>
          <w:sz w:val="22"/>
          <w:szCs w:val="22"/>
        </w:rPr>
      </w:pPr>
      <w:r w:rsidRPr="005458EF">
        <w:rPr>
          <w:rFonts w:ascii="Calibri" w:hAnsi="Calibri" w:cs="Calibri"/>
          <w:sz w:val="22"/>
          <w:szCs w:val="22"/>
        </w:rPr>
        <w:t>Il docente</w:t>
      </w:r>
      <w:r>
        <w:rPr>
          <w:rFonts w:ascii="Calibri" w:hAnsi="Calibri" w:cs="Calibri"/>
          <w:sz w:val="22"/>
          <w:szCs w:val="22"/>
        </w:rPr>
        <w:t xml:space="preserve"> DEVID ROSELLI</w:t>
      </w:r>
    </w:p>
    <w:p w:rsidR="002720DB" w:rsidRPr="005458EF" w:rsidRDefault="002720DB" w:rsidP="0074788F">
      <w:pPr>
        <w:autoSpaceDE w:val="0"/>
        <w:autoSpaceDN w:val="0"/>
        <w:adjustRightInd w:val="0"/>
        <w:jc w:val="both"/>
        <w:rPr>
          <w:rFonts w:ascii="Calibri" w:hAnsi="Calibri" w:cs="Calibri"/>
          <w:sz w:val="22"/>
          <w:szCs w:val="22"/>
        </w:rPr>
      </w:pPr>
    </w:p>
    <w:p w:rsidR="002720DB" w:rsidRPr="005458EF" w:rsidRDefault="002720DB" w:rsidP="0074788F">
      <w:pPr>
        <w:autoSpaceDE w:val="0"/>
        <w:autoSpaceDN w:val="0"/>
        <w:adjustRightInd w:val="0"/>
        <w:jc w:val="both"/>
        <w:rPr>
          <w:rFonts w:ascii="Calibri" w:hAnsi="Calibri" w:cs="Calibri"/>
          <w:sz w:val="22"/>
          <w:szCs w:val="22"/>
        </w:rPr>
      </w:pPr>
    </w:p>
    <w:p w:rsidR="002720DB" w:rsidRPr="005458EF" w:rsidRDefault="002720DB" w:rsidP="0074788F">
      <w:pPr>
        <w:autoSpaceDE w:val="0"/>
        <w:autoSpaceDN w:val="0"/>
        <w:adjustRightInd w:val="0"/>
        <w:jc w:val="both"/>
        <w:rPr>
          <w:rFonts w:ascii="Calibri" w:hAnsi="Calibri" w:cs="Calibri"/>
          <w:sz w:val="22"/>
          <w:szCs w:val="22"/>
        </w:rPr>
      </w:pPr>
    </w:p>
    <w:p w:rsidR="002720DB" w:rsidRPr="005458EF" w:rsidRDefault="002720DB" w:rsidP="0074788F">
      <w:pPr>
        <w:autoSpaceDE w:val="0"/>
        <w:autoSpaceDN w:val="0"/>
        <w:adjustRightInd w:val="0"/>
        <w:jc w:val="both"/>
        <w:rPr>
          <w:rFonts w:ascii="Calibri" w:hAnsi="Calibri" w:cs="Calibri"/>
          <w:sz w:val="22"/>
          <w:szCs w:val="22"/>
        </w:rPr>
      </w:pPr>
    </w:p>
    <w:p w:rsidR="002720DB" w:rsidRPr="005458EF" w:rsidRDefault="002720DB" w:rsidP="0074788F">
      <w:pPr>
        <w:autoSpaceDE w:val="0"/>
        <w:autoSpaceDN w:val="0"/>
        <w:adjustRightInd w:val="0"/>
        <w:jc w:val="both"/>
        <w:rPr>
          <w:rFonts w:ascii="Calibri" w:hAnsi="Calibri" w:cs="Calibri"/>
          <w:sz w:val="22"/>
          <w:szCs w:val="22"/>
        </w:rPr>
      </w:pPr>
      <w:r w:rsidRPr="005458EF">
        <w:rPr>
          <w:rFonts w:ascii="Calibri" w:hAnsi="Calibri" w:cs="Calibri"/>
          <w:sz w:val="22"/>
          <w:szCs w:val="22"/>
        </w:rPr>
        <w:t>Roma</w:t>
      </w:r>
      <w:r>
        <w:rPr>
          <w:rFonts w:ascii="Calibri" w:hAnsi="Calibri" w:cs="Calibri"/>
          <w:sz w:val="22"/>
          <w:szCs w:val="22"/>
        </w:rPr>
        <w:t xml:space="preserve"> 26-11-2014</w:t>
      </w:r>
      <w:r w:rsidRPr="005458EF">
        <w:rPr>
          <w:rFonts w:ascii="Calibri" w:hAnsi="Calibri" w:cs="Calibri"/>
          <w:sz w:val="22"/>
          <w:szCs w:val="22"/>
        </w:rPr>
        <w:t xml:space="preserve"> </w:t>
      </w:r>
    </w:p>
    <w:p w:rsidR="002720DB" w:rsidRPr="005458EF" w:rsidRDefault="002720DB" w:rsidP="0074788F">
      <w:pPr>
        <w:autoSpaceDE w:val="0"/>
        <w:autoSpaceDN w:val="0"/>
        <w:adjustRightInd w:val="0"/>
        <w:jc w:val="right"/>
        <w:rPr>
          <w:rFonts w:ascii="Calibri" w:hAnsi="Calibri" w:cs="Calibri"/>
          <w:sz w:val="22"/>
          <w:szCs w:val="22"/>
        </w:rPr>
      </w:pPr>
    </w:p>
    <w:p w:rsidR="002720DB" w:rsidRPr="005458EF" w:rsidRDefault="002720DB">
      <w:pPr>
        <w:rPr>
          <w:rFonts w:ascii="Calibri" w:hAnsi="Calibri"/>
          <w:sz w:val="22"/>
          <w:szCs w:val="22"/>
        </w:rPr>
      </w:pPr>
    </w:p>
    <w:sectPr w:rsidR="002720DB" w:rsidRPr="005458EF" w:rsidSect="0074788F">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88F"/>
    <w:rsid w:val="000205A2"/>
    <w:rsid w:val="000515E0"/>
    <w:rsid w:val="000E6488"/>
    <w:rsid w:val="00226922"/>
    <w:rsid w:val="002720DB"/>
    <w:rsid w:val="002C0DDD"/>
    <w:rsid w:val="00535C29"/>
    <w:rsid w:val="005458EF"/>
    <w:rsid w:val="005A410A"/>
    <w:rsid w:val="00684DCA"/>
    <w:rsid w:val="0074788F"/>
    <w:rsid w:val="00AA4074"/>
    <w:rsid w:val="00B83DDF"/>
    <w:rsid w:val="00E30472"/>
    <w:rsid w:val="00F1150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88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877</Words>
  <Characters>5003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LICEO CLASSICO E LINGUISTICO STATALE  “ARISTOFANE”</dc:title>
  <dc:subject/>
  <dc:creator>vicepresidenza</dc:creator>
  <cp:keywords/>
  <dc:description/>
  <cp:lastModifiedBy>vicepresidenza</cp:lastModifiedBy>
  <cp:revision>2</cp:revision>
  <dcterms:created xsi:type="dcterms:W3CDTF">2014-12-09T07:28:00Z</dcterms:created>
  <dcterms:modified xsi:type="dcterms:W3CDTF">2014-12-09T07:28:00Z</dcterms:modified>
</cp:coreProperties>
</file>